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D8BEF" w14:textId="719CE6ED" w:rsidR="00FC7575" w:rsidRPr="00820B72" w:rsidRDefault="00A5752C" w:rsidP="00C90A92">
      <w:pPr>
        <w:pStyle w:val="Heading2"/>
        <w:jc w:val="center"/>
      </w:pPr>
      <w:r w:rsidRPr="00820B72">
        <w:t xml:space="preserve">FINTRAC / AML Client </w:t>
      </w:r>
      <w:r w:rsidR="00820B72">
        <w:t>On-Boarding</w:t>
      </w:r>
      <w:r w:rsidRPr="00820B72">
        <w:t xml:space="preserve"> </w:t>
      </w:r>
      <w:r w:rsidR="00B1345D">
        <w:t xml:space="preserve">Risk </w:t>
      </w:r>
      <w:r w:rsidRPr="00820B72">
        <w:t>Questionnaire</w:t>
      </w:r>
    </w:p>
    <w:tbl>
      <w:tblPr>
        <w:tblW w:w="0" w:type="auto"/>
        <w:jc w:val="center"/>
        <w:tblLook w:val="04A0" w:firstRow="1" w:lastRow="0" w:firstColumn="1" w:lastColumn="0" w:noHBand="0" w:noVBand="1"/>
      </w:tblPr>
      <w:tblGrid>
        <w:gridCol w:w="10656"/>
      </w:tblGrid>
      <w:tr w:rsidR="00FC7575" w14:paraId="267E0BC4" w14:textId="77777777" w:rsidTr="00AA744A">
        <w:trPr>
          <w:trHeight w:val="9360"/>
          <w:jc w:val="center"/>
        </w:trPr>
        <w:tc>
          <w:tcPr>
            <w:tcW w:w="10656" w:type="dxa"/>
            <w:shd w:val="clear" w:color="auto" w:fill="EEF4FF"/>
            <w:vAlign w:val="center"/>
          </w:tcPr>
          <w:p w14:paraId="2F2C1454" w14:textId="31BC3C66" w:rsidR="00FC7575" w:rsidRPr="00E92BFB" w:rsidRDefault="006B512E" w:rsidP="00AA744A">
            <w:pPr>
              <w:rPr>
                <w:b/>
                <w:bCs w:val="0"/>
              </w:rPr>
            </w:pPr>
            <w:r>
              <w:rPr>
                <w:b/>
                <w:bCs w:val="0"/>
              </w:rPr>
              <w:t>INSTRUCTIONS</w:t>
            </w:r>
            <w:r w:rsidR="007B3ED5">
              <w:rPr>
                <w:b/>
                <w:bCs w:val="0"/>
              </w:rPr>
              <w:t>:</w:t>
            </w:r>
          </w:p>
          <w:p w14:paraId="7021E117" w14:textId="61680529" w:rsidR="005154C3" w:rsidRPr="006323CA" w:rsidRDefault="006B512E" w:rsidP="00AA744A">
            <w:pPr>
              <w:rPr>
                <w:sz w:val="21"/>
                <w:szCs w:val="21"/>
              </w:rPr>
            </w:pPr>
            <w:r w:rsidRPr="006323CA">
              <w:rPr>
                <w:sz w:val="21"/>
                <w:szCs w:val="21"/>
              </w:rPr>
              <w:t>This questionnaire is used to assess and document the money laundering</w:t>
            </w:r>
            <w:r w:rsidR="00A11B0E" w:rsidRPr="006323CA">
              <w:rPr>
                <w:sz w:val="21"/>
                <w:szCs w:val="21"/>
              </w:rPr>
              <w:t xml:space="preserve"> (</w:t>
            </w:r>
            <w:r w:rsidR="00A11B0E" w:rsidRPr="006323CA">
              <w:rPr>
                <w:b/>
                <w:bCs w:val="0"/>
                <w:sz w:val="21"/>
                <w:szCs w:val="21"/>
              </w:rPr>
              <w:t>ML</w:t>
            </w:r>
            <w:r w:rsidR="00A11B0E" w:rsidRPr="006323CA">
              <w:rPr>
                <w:sz w:val="21"/>
                <w:szCs w:val="21"/>
              </w:rPr>
              <w:t>)</w:t>
            </w:r>
            <w:r w:rsidRPr="006323CA">
              <w:rPr>
                <w:sz w:val="21"/>
                <w:szCs w:val="21"/>
              </w:rPr>
              <w:t xml:space="preserve"> and terrorist financing</w:t>
            </w:r>
            <w:r w:rsidR="00A11B0E" w:rsidRPr="006323CA">
              <w:rPr>
                <w:sz w:val="21"/>
                <w:szCs w:val="21"/>
              </w:rPr>
              <w:t xml:space="preserve"> (</w:t>
            </w:r>
            <w:r w:rsidR="00A11B0E" w:rsidRPr="006323CA">
              <w:rPr>
                <w:b/>
                <w:bCs w:val="0"/>
                <w:sz w:val="21"/>
                <w:szCs w:val="21"/>
              </w:rPr>
              <w:t>TF</w:t>
            </w:r>
            <w:r w:rsidR="00A11B0E" w:rsidRPr="006323CA">
              <w:rPr>
                <w:sz w:val="21"/>
                <w:szCs w:val="21"/>
              </w:rPr>
              <w:t>)</w:t>
            </w:r>
            <w:r w:rsidRPr="006323CA">
              <w:rPr>
                <w:sz w:val="21"/>
                <w:szCs w:val="21"/>
              </w:rPr>
              <w:t xml:space="preserve"> risk</w:t>
            </w:r>
            <w:r w:rsidR="00A11B0E" w:rsidRPr="006323CA">
              <w:rPr>
                <w:sz w:val="21"/>
                <w:szCs w:val="21"/>
              </w:rPr>
              <w:t xml:space="preserve"> </w:t>
            </w:r>
            <w:r w:rsidRPr="006323CA">
              <w:rPr>
                <w:sz w:val="21"/>
                <w:szCs w:val="21"/>
              </w:rPr>
              <w:t>associated with every new client and engagement. It forms part of CSS's Anti-Money Laundering (</w:t>
            </w:r>
            <w:r w:rsidRPr="006323CA">
              <w:rPr>
                <w:b/>
                <w:bCs w:val="0"/>
                <w:sz w:val="21"/>
                <w:szCs w:val="21"/>
              </w:rPr>
              <w:t>AML</w:t>
            </w:r>
            <w:r w:rsidRPr="006323CA">
              <w:rPr>
                <w:sz w:val="21"/>
                <w:szCs w:val="21"/>
              </w:rPr>
              <w:t xml:space="preserve">) and </w:t>
            </w:r>
            <w:r w:rsidRPr="006323CA">
              <w:rPr>
                <w:b/>
                <w:bCs w:val="0"/>
                <w:sz w:val="21"/>
                <w:szCs w:val="21"/>
              </w:rPr>
              <w:t>FINTRAC</w:t>
            </w:r>
            <w:r w:rsidRPr="006323CA">
              <w:rPr>
                <w:sz w:val="21"/>
                <w:szCs w:val="21"/>
              </w:rPr>
              <w:t xml:space="preserve"> compliance program and helps determine the appropriate client risk classification, identify situations requiring enhanced due diligence, and support compliance with regulatory obligations.</w:t>
            </w:r>
            <w:r w:rsidR="005154C3" w:rsidRPr="006323CA">
              <w:rPr>
                <w:sz w:val="21"/>
                <w:szCs w:val="21"/>
              </w:rPr>
              <w:t xml:space="preserve"> Tax, advisory, audit, review, and compilation do </w:t>
            </w:r>
            <w:r w:rsidR="005154C3" w:rsidRPr="006323CA">
              <w:rPr>
                <w:b/>
                <w:sz w:val="21"/>
                <w:szCs w:val="21"/>
              </w:rPr>
              <w:t>not by themselves</w:t>
            </w:r>
            <w:r w:rsidR="005154C3" w:rsidRPr="006323CA">
              <w:rPr>
                <w:sz w:val="21"/>
                <w:szCs w:val="21"/>
              </w:rPr>
              <w:t xml:space="preserve"> trigger FINTRAC accountant obligations unless CSS engages in or gives instructions for prescribed activities.</w:t>
            </w:r>
          </w:p>
          <w:p w14:paraId="1D001880" w14:textId="77777777" w:rsidR="006B512E" w:rsidRPr="006323CA" w:rsidRDefault="006B512E" w:rsidP="00AA744A">
            <w:pPr>
              <w:rPr>
                <w:sz w:val="21"/>
                <w:szCs w:val="21"/>
              </w:rPr>
            </w:pPr>
            <w:r w:rsidRPr="006323CA">
              <w:rPr>
                <w:sz w:val="21"/>
                <w:szCs w:val="21"/>
              </w:rPr>
              <w:t xml:space="preserve">This questionnaire should be completed after the applicable client identification procedures have been performed and documented using either the </w:t>
            </w:r>
            <w:r w:rsidRPr="006323CA">
              <w:rPr>
                <w:b/>
                <w:bCs w:val="0"/>
                <w:sz w:val="21"/>
                <w:szCs w:val="21"/>
              </w:rPr>
              <w:t>CSS Individual Identification Verification Form</w:t>
            </w:r>
            <w:r w:rsidRPr="006323CA">
              <w:rPr>
                <w:sz w:val="21"/>
                <w:szCs w:val="21"/>
              </w:rPr>
              <w:t xml:space="preserve"> or the </w:t>
            </w:r>
            <w:r w:rsidRPr="006323CA">
              <w:rPr>
                <w:b/>
                <w:bCs w:val="0"/>
                <w:sz w:val="21"/>
                <w:szCs w:val="21"/>
              </w:rPr>
              <w:t>CSS Entity &amp; Beneficial Ownership Identification Verification Form</w:t>
            </w:r>
            <w:r w:rsidRPr="006323CA">
              <w:rPr>
                <w:sz w:val="21"/>
                <w:szCs w:val="21"/>
              </w:rPr>
              <w:t>. Information obtained during the identification and verification process should be used to complete this risk assessment.</w:t>
            </w:r>
          </w:p>
          <w:p w14:paraId="70E392E3" w14:textId="77777777" w:rsidR="006B512E" w:rsidRPr="006323CA" w:rsidRDefault="006B512E" w:rsidP="00AA744A">
            <w:pPr>
              <w:rPr>
                <w:b/>
                <w:bCs w:val="0"/>
                <w:sz w:val="21"/>
                <w:szCs w:val="21"/>
              </w:rPr>
            </w:pPr>
            <w:r w:rsidRPr="006323CA">
              <w:rPr>
                <w:b/>
                <w:bCs w:val="0"/>
                <w:sz w:val="21"/>
                <w:szCs w:val="21"/>
              </w:rPr>
              <w:t>Before completing this questionnaire:</w:t>
            </w:r>
          </w:p>
          <w:p w14:paraId="04933E30" w14:textId="4736A998" w:rsidR="006B512E" w:rsidRPr="006323CA" w:rsidRDefault="006B512E" w:rsidP="00AA744A">
            <w:pPr>
              <w:pStyle w:val="ListParagraph"/>
              <w:numPr>
                <w:ilvl w:val="0"/>
                <w:numId w:val="12"/>
              </w:numPr>
              <w:rPr>
                <w:sz w:val="21"/>
                <w:szCs w:val="21"/>
              </w:rPr>
            </w:pPr>
            <w:r w:rsidRPr="006323CA">
              <w:rPr>
                <w:sz w:val="21"/>
                <w:szCs w:val="21"/>
              </w:rPr>
              <w:t>Ensure the client's identity has been verified and supporting documentation has been obtained.</w:t>
            </w:r>
          </w:p>
          <w:p w14:paraId="1FC575EE" w14:textId="1CB8BD92" w:rsidR="006B512E" w:rsidRPr="006323CA" w:rsidRDefault="006B512E" w:rsidP="00AA744A">
            <w:pPr>
              <w:pStyle w:val="ListParagraph"/>
              <w:numPr>
                <w:ilvl w:val="0"/>
                <w:numId w:val="12"/>
              </w:numPr>
              <w:rPr>
                <w:sz w:val="21"/>
                <w:szCs w:val="21"/>
              </w:rPr>
            </w:pPr>
            <w:r w:rsidRPr="006323CA">
              <w:rPr>
                <w:sz w:val="21"/>
                <w:szCs w:val="21"/>
              </w:rPr>
              <w:t>Review the client relationship, ownership structure, source of funds information, and the nature of services being provided.</w:t>
            </w:r>
          </w:p>
          <w:p w14:paraId="7549F1AA" w14:textId="1042D454" w:rsidR="006B512E" w:rsidRPr="006323CA" w:rsidRDefault="006B512E" w:rsidP="00AA744A">
            <w:pPr>
              <w:pStyle w:val="ListParagraph"/>
              <w:numPr>
                <w:ilvl w:val="0"/>
                <w:numId w:val="12"/>
              </w:numPr>
              <w:rPr>
                <w:sz w:val="21"/>
                <w:szCs w:val="21"/>
              </w:rPr>
            </w:pPr>
            <w:r w:rsidRPr="006323CA">
              <w:rPr>
                <w:sz w:val="21"/>
                <w:szCs w:val="21"/>
              </w:rPr>
              <w:t>Complete all applicable sections of this questionnaire.</w:t>
            </w:r>
          </w:p>
          <w:p w14:paraId="30C90E87" w14:textId="2AE3BFBF" w:rsidR="006B512E" w:rsidRPr="006323CA" w:rsidRDefault="006B512E" w:rsidP="00AA744A">
            <w:pPr>
              <w:pStyle w:val="ListParagraph"/>
              <w:numPr>
                <w:ilvl w:val="0"/>
                <w:numId w:val="12"/>
              </w:numPr>
              <w:rPr>
                <w:sz w:val="21"/>
                <w:szCs w:val="21"/>
              </w:rPr>
            </w:pPr>
            <w:r w:rsidRPr="006323CA">
              <w:rPr>
                <w:sz w:val="21"/>
                <w:szCs w:val="21"/>
              </w:rPr>
              <w:t xml:space="preserve">Answer every question using </w:t>
            </w:r>
            <w:r w:rsidRPr="006323CA">
              <w:rPr>
                <w:b/>
                <w:bCs w:val="0"/>
                <w:sz w:val="21"/>
                <w:szCs w:val="21"/>
              </w:rPr>
              <w:t>Yes, No,</w:t>
            </w:r>
            <w:r w:rsidRPr="006323CA">
              <w:rPr>
                <w:sz w:val="21"/>
                <w:szCs w:val="21"/>
              </w:rPr>
              <w:t xml:space="preserve"> or </w:t>
            </w:r>
            <w:r w:rsidRPr="006323CA">
              <w:rPr>
                <w:b/>
                <w:bCs w:val="0"/>
                <w:sz w:val="21"/>
                <w:szCs w:val="21"/>
              </w:rPr>
              <w:t>Unknown</w:t>
            </w:r>
            <w:r w:rsidR="00DF4616" w:rsidRPr="006323CA">
              <w:rPr>
                <w:b/>
                <w:bCs w:val="0"/>
                <w:sz w:val="21"/>
                <w:szCs w:val="21"/>
              </w:rPr>
              <w:t>*</w:t>
            </w:r>
            <w:r w:rsidRPr="006323CA">
              <w:rPr>
                <w:sz w:val="21"/>
                <w:szCs w:val="21"/>
              </w:rPr>
              <w:t>.</w:t>
            </w:r>
          </w:p>
          <w:p w14:paraId="2C3F2FFB" w14:textId="5B834DC1" w:rsidR="006B512E" w:rsidRPr="006323CA" w:rsidRDefault="006B512E" w:rsidP="00AA744A">
            <w:pPr>
              <w:pStyle w:val="ListParagraph"/>
              <w:numPr>
                <w:ilvl w:val="0"/>
                <w:numId w:val="12"/>
              </w:numPr>
              <w:rPr>
                <w:sz w:val="21"/>
                <w:szCs w:val="21"/>
              </w:rPr>
            </w:pPr>
            <w:r w:rsidRPr="006323CA">
              <w:rPr>
                <w:sz w:val="21"/>
                <w:szCs w:val="21"/>
              </w:rPr>
              <w:t>Escalate any High-Risk indicators or concerns to the Deputy CAMLO</w:t>
            </w:r>
            <w:r w:rsidR="00A11B0E" w:rsidRPr="006323CA">
              <w:rPr>
                <w:sz w:val="21"/>
                <w:szCs w:val="21"/>
              </w:rPr>
              <w:t xml:space="preserve"> (Jen Bailey)</w:t>
            </w:r>
            <w:r w:rsidRPr="006323CA">
              <w:rPr>
                <w:sz w:val="21"/>
                <w:szCs w:val="21"/>
              </w:rPr>
              <w:t xml:space="preserve"> immediately.</w:t>
            </w:r>
          </w:p>
          <w:p w14:paraId="0F2068FC" w14:textId="5960D271" w:rsidR="006B512E" w:rsidRPr="006323CA" w:rsidRDefault="006B512E" w:rsidP="00AA744A">
            <w:pPr>
              <w:pStyle w:val="ListParagraph"/>
              <w:numPr>
                <w:ilvl w:val="0"/>
                <w:numId w:val="12"/>
              </w:numPr>
              <w:rPr>
                <w:sz w:val="21"/>
                <w:szCs w:val="21"/>
              </w:rPr>
            </w:pPr>
            <w:r w:rsidRPr="006323CA">
              <w:rPr>
                <w:sz w:val="21"/>
                <w:szCs w:val="21"/>
              </w:rPr>
              <w:t>Document the rationale for any professional judgment used when determining the final risk classification</w:t>
            </w:r>
            <w:r w:rsidR="006323CA" w:rsidRPr="006323CA">
              <w:rPr>
                <w:sz w:val="21"/>
                <w:szCs w:val="21"/>
              </w:rPr>
              <w:t xml:space="preserve"> in Section D.</w:t>
            </w:r>
          </w:p>
          <w:p w14:paraId="5D74EFCD" w14:textId="77777777" w:rsidR="006B512E" w:rsidRPr="006323CA" w:rsidRDefault="006B512E" w:rsidP="00AA744A">
            <w:pPr>
              <w:rPr>
                <w:b/>
                <w:bCs w:val="0"/>
                <w:sz w:val="21"/>
                <w:szCs w:val="21"/>
              </w:rPr>
            </w:pPr>
            <w:r w:rsidRPr="006323CA">
              <w:rPr>
                <w:b/>
                <w:bCs w:val="0"/>
                <w:sz w:val="21"/>
                <w:szCs w:val="21"/>
              </w:rPr>
              <w:t>Once completed:</w:t>
            </w:r>
          </w:p>
          <w:p w14:paraId="7A1A65DE" w14:textId="51395C8D" w:rsidR="006B512E" w:rsidRPr="006323CA" w:rsidRDefault="006B512E" w:rsidP="00AA744A">
            <w:pPr>
              <w:pStyle w:val="ListParagraph"/>
              <w:numPr>
                <w:ilvl w:val="0"/>
                <w:numId w:val="13"/>
              </w:numPr>
              <w:rPr>
                <w:sz w:val="21"/>
                <w:szCs w:val="21"/>
              </w:rPr>
            </w:pPr>
            <w:r w:rsidRPr="006323CA">
              <w:rPr>
                <w:sz w:val="21"/>
                <w:szCs w:val="21"/>
              </w:rPr>
              <w:t>Save the questionnaire in the</w:t>
            </w:r>
            <w:r w:rsidR="00A11B0E" w:rsidRPr="006323CA">
              <w:rPr>
                <w:sz w:val="21"/>
                <w:szCs w:val="21"/>
              </w:rPr>
              <w:t xml:space="preserve"> client</w:t>
            </w:r>
            <w:r w:rsidRPr="006323CA">
              <w:rPr>
                <w:sz w:val="21"/>
                <w:szCs w:val="21"/>
              </w:rPr>
              <w:t xml:space="preserve"> CaseWare file.</w:t>
            </w:r>
          </w:p>
          <w:p w14:paraId="61C2E2D1" w14:textId="77777777" w:rsidR="006B512E" w:rsidRPr="006323CA" w:rsidRDefault="006B512E" w:rsidP="00AA744A">
            <w:pPr>
              <w:pStyle w:val="ListParagraph"/>
              <w:numPr>
                <w:ilvl w:val="0"/>
                <w:numId w:val="13"/>
              </w:numPr>
              <w:rPr>
                <w:sz w:val="21"/>
                <w:szCs w:val="21"/>
              </w:rPr>
            </w:pPr>
            <w:r w:rsidRPr="006323CA">
              <w:rPr>
                <w:sz w:val="21"/>
                <w:szCs w:val="21"/>
              </w:rPr>
              <w:t>Update the client profile in iFirm.</w:t>
            </w:r>
          </w:p>
          <w:p w14:paraId="0C845ECB" w14:textId="44A56371" w:rsidR="006B512E" w:rsidRPr="006323CA" w:rsidRDefault="006B512E" w:rsidP="00AA744A">
            <w:pPr>
              <w:pStyle w:val="ListParagraph"/>
              <w:numPr>
                <w:ilvl w:val="0"/>
                <w:numId w:val="13"/>
              </w:numPr>
              <w:rPr>
                <w:sz w:val="21"/>
                <w:szCs w:val="21"/>
              </w:rPr>
            </w:pPr>
            <w:r w:rsidRPr="006323CA">
              <w:rPr>
                <w:sz w:val="21"/>
                <w:szCs w:val="21"/>
              </w:rPr>
              <w:t>Send a copy</w:t>
            </w:r>
            <w:r w:rsidR="00A11B0E" w:rsidRPr="006323CA">
              <w:rPr>
                <w:sz w:val="21"/>
                <w:szCs w:val="21"/>
              </w:rPr>
              <w:t xml:space="preserve"> of </w:t>
            </w:r>
            <w:r w:rsidR="00A11B0E" w:rsidRPr="006323CA">
              <w:rPr>
                <w:b/>
                <w:bCs w:val="0"/>
                <w:sz w:val="21"/>
                <w:szCs w:val="21"/>
              </w:rPr>
              <w:t>ALL FORMS</w:t>
            </w:r>
            <w:r w:rsidRPr="006323CA">
              <w:rPr>
                <w:sz w:val="21"/>
                <w:szCs w:val="21"/>
              </w:rPr>
              <w:t xml:space="preserve"> to the Deputy CAMLO (Jen Bailey).</w:t>
            </w:r>
          </w:p>
          <w:p w14:paraId="3020B923" w14:textId="77777777" w:rsidR="00FC7575" w:rsidRPr="006323CA" w:rsidRDefault="006B512E" w:rsidP="00AA744A">
            <w:pPr>
              <w:rPr>
                <w:b/>
                <w:bCs w:val="0"/>
                <w:sz w:val="21"/>
                <w:szCs w:val="21"/>
              </w:rPr>
            </w:pPr>
            <w:r w:rsidRPr="006323CA">
              <w:rPr>
                <w:b/>
                <w:bCs w:val="0"/>
                <w:sz w:val="21"/>
                <w:szCs w:val="21"/>
              </w:rPr>
              <w:t>This questionnaire supports professional judgment but does not replace FINTRAC reporting obligations, CAMLO review requirements, or other regulatory responsibilities.</w:t>
            </w:r>
          </w:p>
          <w:p w14:paraId="11F2CA04" w14:textId="7E3FD4CE" w:rsidR="00DF4616" w:rsidRPr="00DF4616" w:rsidRDefault="00DF4616" w:rsidP="00DF4616">
            <w:pPr>
              <w:rPr>
                <w:b/>
                <w:color w:val="DE1212" w:themeColor="accent6"/>
                <w:lang w:val="en-CA"/>
              </w:rPr>
            </w:pPr>
            <w:r>
              <w:rPr>
                <w:b/>
                <w:lang w:val="en-CA"/>
              </w:rPr>
              <w:t>*</w:t>
            </w:r>
            <w:r w:rsidRPr="00DF4616">
              <w:rPr>
                <w:b/>
                <w:color w:val="DE1212" w:themeColor="accent6"/>
                <w:lang w:val="en-CA"/>
              </w:rPr>
              <w:t>Definition of Unknown</w:t>
            </w:r>
            <w:r w:rsidR="005E2892">
              <w:rPr>
                <w:b/>
                <w:color w:val="DE1212" w:themeColor="accent6"/>
                <w:lang w:val="en-CA"/>
              </w:rPr>
              <w:t>:</w:t>
            </w:r>
          </w:p>
          <w:p w14:paraId="2A3CC050" w14:textId="77777777" w:rsidR="00DF4616" w:rsidRPr="00DF4616" w:rsidRDefault="00DF4616" w:rsidP="00DF4616">
            <w:pPr>
              <w:spacing w:after="0" w:line="240" w:lineRule="auto"/>
              <w:rPr>
                <w:sz w:val="20"/>
                <w:szCs w:val="20"/>
                <w:lang w:val="en-CA"/>
              </w:rPr>
            </w:pPr>
            <w:r w:rsidRPr="00DF4616">
              <w:rPr>
                <w:sz w:val="20"/>
                <w:szCs w:val="20"/>
                <w:lang w:val="en-CA"/>
              </w:rPr>
              <w:t>An answer of Unknown may be used only where:</w:t>
            </w:r>
          </w:p>
          <w:p w14:paraId="77AA9420" w14:textId="77777777" w:rsidR="00DF4616" w:rsidRPr="00DF4616" w:rsidRDefault="00DF4616" w:rsidP="00DF4616">
            <w:pPr>
              <w:pStyle w:val="ListParagraph"/>
              <w:numPr>
                <w:ilvl w:val="0"/>
                <w:numId w:val="22"/>
              </w:numPr>
              <w:spacing w:after="0" w:line="240" w:lineRule="auto"/>
              <w:rPr>
                <w:i/>
                <w:iCs/>
                <w:sz w:val="20"/>
                <w:szCs w:val="20"/>
                <w:lang w:val="en-CA"/>
              </w:rPr>
            </w:pPr>
            <w:r w:rsidRPr="00DF4616">
              <w:rPr>
                <w:i/>
                <w:iCs/>
                <w:sz w:val="20"/>
                <w:szCs w:val="20"/>
                <w:lang w:val="en-CA"/>
              </w:rPr>
              <w:t xml:space="preserve">information has not yet been obtained; </w:t>
            </w:r>
          </w:p>
          <w:p w14:paraId="6601925F" w14:textId="77777777" w:rsidR="00DF4616" w:rsidRPr="00DF4616" w:rsidRDefault="00DF4616" w:rsidP="00DF4616">
            <w:pPr>
              <w:pStyle w:val="ListParagraph"/>
              <w:numPr>
                <w:ilvl w:val="0"/>
                <w:numId w:val="22"/>
              </w:numPr>
              <w:spacing w:after="0" w:line="240" w:lineRule="auto"/>
              <w:rPr>
                <w:i/>
                <w:iCs/>
                <w:sz w:val="20"/>
                <w:szCs w:val="20"/>
                <w:lang w:val="en-CA"/>
              </w:rPr>
            </w:pPr>
            <w:r w:rsidRPr="00DF4616">
              <w:rPr>
                <w:i/>
                <w:iCs/>
                <w:sz w:val="20"/>
                <w:szCs w:val="20"/>
                <w:lang w:val="en-CA"/>
              </w:rPr>
              <w:t xml:space="preserve">information cannot reasonably be verified at the time of assessment; or </w:t>
            </w:r>
          </w:p>
          <w:p w14:paraId="6559455D" w14:textId="77777777" w:rsidR="00DF4616" w:rsidRPr="00DF4616" w:rsidRDefault="00DF4616" w:rsidP="00DF4616">
            <w:pPr>
              <w:pStyle w:val="ListParagraph"/>
              <w:numPr>
                <w:ilvl w:val="0"/>
                <w:numId w:val="22"/>
              </w:numPr>
              <w:spacing w:after="0" w:line="240" w:lineRule="auto"/>
              <w:rPr>
                <w:i/>
                <w:iCs/>
                <w:sz w:val="20"/>
                <w:szCs w:val="20"/>
                <w:lang w:val="en-CA"/>
              </w:rPr>
            </w:pPr>
            <w:r w:rsidRPr="00DF4616">
              <w:rPr>
                <w:i/>
                <w:iCs/>
                <w:sz w:val="20"/>
                <w:szCs w:val="20"/>
                <w:lang w:val="en-CA"/>
              </w:rPr>
              <w:t xml:space="preserve">the available information is insufficient to support a Yes or No response. </w:t>
            </w:r>
          </w:p>
          <w:p w14:paraId="36CE6178" w14:textId="0F226D50" w:rsidR="00DF4616" w:rsidRPr="000F1780" w:rsidRDefault="00DF4616" w:rsidP="000F1780">
            <w:pPr>
              <w:spacing w:after="0" w:line="240" w:lineRule="auto"/>
              <w:rPr>
                <w:b/>
                <w:bCs w:val="0"/>
              </w:rPr>
            </w:pPr>
            <w:r w:rsidRPr="00DF4616">
              <w:rPr>
                <w:b/>
                <w:bCs w:val="0"/>
                <w:sz w:val="20"/>
                <w:szCs w:val="20"/>
                <w:u w:val="single"/>
                <w:lang w:val="en-CA"/>
              </w:rPr>
              <w:t>Unknown must not be used as a substitute for reasonable inquiry</w:t>
            </w:r>
            <w:r w:rsidRPr="00DF4616">
              <w:rPr>
                <w:sz w:val="20"/>
                <w:szCs w:val="20"/>
                <w:lang w:val="en-CA"/>
              </w:rPr>
              <w:t xml:space="preserve">. </w:t>
            </w:r>
            <w:r w:rsidR="00926415">
              <w:rPr>
                <w:sz w:val="20"/>
                <w:szCs w:val="20"/>
                <w:lang w:val="en-CA"/>
              </w:rPr>
              <w:t>I</w:t>
            </w:r>
            <w:r w:rsidR="00926415" w:rsidRPr="00926415">
              <w:rPr>
                <w:sz w:val="20"/>
                <w:szCs w:val="20"/>
                <w:lang w:val="en-CA"/>
              </w:rPr>
              <w:t>f an Unknown response relates to a material AML/ATF risk factor (including beneficial ownership, source of funds/source of wealth, PEP/HIO status, sanctions exposure, third-party involvement, suspicious activity, or another significant risk factor), the matter must be documented in Section D and classified as Pending Review until resolved.</w:t>
            </w:r>
          </w:p>
        </w:tc>
      </w:tr>
    </w:tbl>
    <w:p w14:paraId="17E73BF8" w14:textId="77777777" w:rsidR="00A11B0E" w:rsidRPr="00461A99" w:rsidRDefault="00A11B0E" w:rsidP="00E17197">
      <w:pPr>
        <w:rPr>
          <w:sz w:val="2"/>
          <w:szCs w:val="2"/>
        </w:rPr>
      </w:pPr>
    </w:p>
    <w:tbl>
      <w:tblPr>
        <w:tblW w:w="0" w:type="auto"/>
        <w:jc w:val="center"/>
        <w:tblLook w:val="04A0" w:firstRow="1" w:lastRow="0" w:firstColumn="1" w:lastColumn="0" w:noHBand="0" w:noVBand="1"/>
      </w:tblPr>
      <w:tblGrid>
        <w:gridCol w:w="10656"/>
      </w:tblGrid>
      <w:tr w:rsidR="000518BF" w14:paraId="76677E40" w14:textId="77777777" w:rsidTr="000518BF">
        <w:trPr>
          <w:trHeight w:val="6714"/>
          <w:jc w:val="center"/>
        </w:trPr>
        <w:tc>
          <w:tcPr>
            <w:tcW w:w="10656" w:type="dxa"/>
            <w:shd w:val="clear" w:color="auto" w:fill="EEF4FF"/>
            <w:vAlign w:val="center"/>
          </w:tcPr>
          <w:p w14:paraId="424D7CDF" w14:textId="77777777" w:rsidR="00777A40" w:rsidRDefault="00777A40" w:rsidP="000518BF">
            <w:pPr>
              <w:spacing w:after="0" w:line="240" w:lineRule="auto"/>
              <w:rPr>
                <w:b/>
                <w:bCs w:val="0"/>
                <w:lang w:val="en-CA"/>
              </w:rPr>
            </w:pPr>
          </w:p>
          <w:p w14:paraId="781D3DF5" w14:textId="38C39590" w:rsidR="000518BF" w:rsidRPr="000518BF" w:rsidRDefault="000518BF" w:rsidP="000518BF">
            <w:pPr>
              <w:spacing w:after="0" w:line="240" w:lineRule="auto"/>
              <w:rPr>
                <w:b/>
                <w:bCs w:val="0"/>
                <w:lang w:val="en-CA"/>
              </w:rPr>
            </w:pPr>
            <w:r w:rsidRPr="000518BF">
              <w:rPr>
                <w:b/>
                <w:bCs w:val="0"/>
                <w:lang w:val="en-CA"/>
              </w:rPr>
              <w:t>CLIENT RISK CLASSIFICATION DECISION PROCESS</w:t>
            </w:r>
          </w:p>
          <w:p w14:paraId="14F08B15" w14:textId="77777777" w:rsidR="000518BF" w:rsidRDefault="000518BF" w:rsidP="000518BF">
            <w:pPr>
              <w:spacing w:after="0" w:line="240" w:lineRule="auto"/>
              <w:rPr>
                <w:lang w:val="en-CA"/>
              </w:rPr>
            </w:pPr>
          </w:p>
          <w:p w14:paraId="14DED1D3" w14:textId="62B07356" w:rsidR="000518BF" w:rsidRPr="000518BF" w:rsidRDefault="000518BF" w:rsidP="000518BF">
            <w:pPr>
              <w:spacing w:after="0" w:line="240" w:lineRule="auto"/>
              <w:rPr>
                <w:lang w:val="en-CA"/>
              </w:rPr>
            </w:pPr>
            <w:r w:rsidRPr="000518BF">
              <w:rPr>
                <w:b/>
                <w:bCs w:val="0"/>
                <w:color w:val="C00000"/>
                <w:lang w:val="en-CA"/>
              </w:rPr>
              <w:t>STEP 1:</w:t>
            </w:r>
            <w:r w:rsidRPr="000518BF">
              <w:rPr>
                <w:lang w:val="en-CA"/>
              </w:rPr>
              <w:t xml:space="preserve"> Complete client identification and verification requirements using the applicable CSS Identification Verification Form.</w:t>
            </w:r>
          </w:p>
          <w:p w14:paraId="08705F5F" w14:textId="77777777" w:rsidR="000518BF" w:rsidRDefault="000518BF" w:rsidP="000518BF">
            <w:pPr>
              <w:spacing w:after="0" w:line="240" w:lineRule="auto"/>
              <w:rPr>
                <w:lang w:val="en-CA"/>
              </w:rPr>
            </w:pPr>
          </w:p>
          <w:p w14:paraId="43243BD5" w14:textId="5F6F26A7" w:rsidR="000518BF" w:rsidRPr="000518BF" w:rsidRDefault="000518BF" w:rsidP="000518BF">
            <w:pPr>
              <w:spacing w:after="0" w:line="240" w:lineRule="auto"/>
              <w:rPr>
                <w:lang w:val="en-CA"/>
              </w:rPr>
            </w:pPr>
            <w:r w:rsidRPr="000518BF">
              <w:rPr>
                <w:b/>
                <w:bCs w:val="0"/>
                <w:color w:val="C00000"/>
                <w:lang w:val="en-CA"/>
              </w:rPr>
              <w:t>STEP 2:</w:t>
            </w:r>
            <w:r>
              <w:rPr>
                <w:lang w:val="en-CA"/>
              </w:rPr>
              <w:t xml:space="preserve"> </w:t>
            </w:r>
            <w:r w:rsidRPr="000518BF">
              <w:rPr>
                <w:lang w:val="en-CA"/>
              </w:rPr>
              <w:t>Complete Section B (Auto-High Risk Override Questions).</w:t>
            </w:r>
          </w:p>
          <w:p w14:paraId="19DB2305" w14:textId="77777777" w:rsidR="000518BF" w:rsidRDefault="000518BF" w:rsidP="000518BF">
            <w:pPr>
              <w:pStyle w:val="ListParagraph"/>
              <w:numPr>
                <w:ilvl w:val="0"/>
                <w:numId w:val="39"/>
              </w:numPr>
              <w:spacing w:after="0" w:line="240" w:lineRule="auto"/>
              <w:rPr>
                <w:lang w:val="en-CA"/>
              </w:rPr>
            </w:pPr>
            <w:r w:rsidRPr="000518BF">
              <w:rPr>
                <w:lang w:val="en-CA"/>
              </w:rPr>
              <w:t>If ANY Section B question is answered "Yes", the client is automatically classified as HIGH RISK.</w:t>
            </w:r>
          </w:p>
          <w:p w14:paraId="2C07D762" w14:textId="77777777" w:rsidR="000518BF" w:rsidRDefault="000518BF" w:rsidP="000518BF">
            <w:pPr>
              <w:pStyle w:val="ListParagraph"/>
              <w:numPr>
                <w:ilvl w:val="0"/>
                <w:numId w:val="39"/>
              </w:numPr>
              <w:spacing w:after="0" w:line="240" w:lineRule="auto"/>
              <w:rPr>
                <w:lang w:val="en-CA"/>
              </w:rPr>
            </w:pPr>
            <w:r w:rsidRPr="000518BF">
              <w:rPr>
                <w:lang w:val="en-CA"/>
              </w:rPr>
              <w:t>Escalate to the Deputy CAMLO.</w:t>
            </w:r>
          </w:p>
          <w:p w14:paraId="1DF03297" w14:textId="77777777" w:rsidR="000518BF" w:rsidRDefault="000518BF" w:rsidP="000518BF">
            <w:pPr>
              <w:pStyle w:val="ListParagraph"/>
              <w:numPr>
                <w:ilvl w:val="0"/>
                <w:numId w:val="39"/>
              </w:numPr>
              <w:spacing w:after="0" w:line="240" w:lineRule="auto"/>
              <w:rPr>
                <w:lang w:val="en-CA"/>
              </w:rPr>
            </w:pPr>
            <w:r w:rsidRPr="000518BF">
              <w:rPr>
                <w:lang w:val="en-CA"/>
              </w:rPr>
              <w:t>Complete Enhanced Due Diligence (EDD) where required.</w:t>
            </w:r>
          </w:p>
          <w:p w14:paraId="60182C59" w14:textId="4C7775D4" w:rsidR="000518BF" w:rsidRPr="000518BF" w:rsidRDefault="000518BF" w:rsidP="000518BF">
            <w:pPr>
              <w:pStyle w:val="ListParagraph"/>
              <w:numPr>
                <w:ilvl w:val="0"/>
                <w:numId w:val="39"/>
              </w:numPr>
              <w:spacing w:after="0" w:line="240" w:lineRule="auto"/>
              <w:rPr>
                <w:lang w:val="en-CA"/>
              </w:rPr>
            </w:pPr>
            <w:r w:rsidRPr="000518BF">
              <w:rPr>
                <w:lang w:val="en-CA"/>
              </w:rPr>
              <w:t>Continue completing the remaining sections for documentation purposes.</w:t>
            </w:r>
          </w:p>
          <w:p w14:paraId="68A57EAB" w14:textId="77777777" w:rsidR="000518BF" w:rsidRDefault="000518BF" w:rsidP="000518BF">
            <w:pPr>
              <w:spacing w:after="0" w:line="240" w:lineRule="auto"/>
              <w:rPr>
                <w:lang w:val="en-CA"/>
              </w:rPr>
            </w:pPr>
          </w:p>
          <w:p w14:paraId="1A6A4799" w14:textId="735D4B2F" w:rsidR="000518BF" w:rsidRPr="000518BF" w:rsidRDefault="000518BF" w:rsidP="000518BF">
            <w:pPr>
              <w:spacing w:after="0" w:line="240" w:lineRule="auto"/>
              <w:rPr>
                <w:lang w:val="en-CA"/>
              </w:rPr>
            </w:pPr>
            <w:r w:rsidRPr="000518BF">
              <w:rPr>
                <w:b/>
                <w:bCs w:val="0"/>
                <w:color w:val="C00000"/>
                <w:lang w:val="en-CA"/>
              </w:rPr>
              <w:t>STEP 3:</w:t>
            </w:r>
            <w:r>
              <w:rPr>
                <w:lang w:val="en-CA"/>
              </w:rPr>
              <w:t xml:space="preserve"> </w:t>
            </w:r>
            <w:r w:rsidRPr="000518BF">
              <w:rPr>
                <w:lang w:val="en-CA"/>
              </w:rPr>
              <w:t>Review any "Unknown" responses in Section B.</w:t>
            </w:r>
          </w:p>
          <w:p w14:paraId="7F7E3139" w14:textId="77777777" w:rsidR="000518BF" w:rsidRDefault="000518BF" w:rsidP="000518BF">
            <w:pPr>
              <w:pStyle w:val="ListParagraph"/>
              <w:numPr>
                <w:ilvl w:val="0"/>
                <w:numId w:val="38"/>
              </w:numPr>
              <w:spacing w:after="0" w:line="240" w:lineRule="auto"/>
              <w:rPr>
                <w:lang w:val="en-CA"/>
              </w:rPr>
            </w:pPr>
            <w:r w:rsidRPr="000518BF">
              <w:rPr>
                <w:lang w:val="en-CA"/>
              </w:rPr>
              <w:t>If an Unknown response relates to beneficial ownership, source of funds, source of wealth, PEP/HIO status, sanctions, third-party involvement, suspicious activity, or another material AML/ATF risk factor, classify the file as PENDING REVIEW until resolved.</w:t>
            </w:r>
          </w:p>
          <w:p w14:paraId="7A497652" w14:textId="279AFA39" w:rsidR="000518BF" w:rsidRPr="000518BF" w:rsidRDefault="000518BF" w:rsidP="000518BF">
            <w:pPr>
              <w:pStyle w:val="ListParagraph"/>
              <w:numPr>
                <w:ilvl w:val="0"/>
                <w:numId w:val="38"/>
              </w:numPr>
              <w:spacing w:after="0" w:line="240" w:lineRule="auto"/>
              <w:rPr>
                <w:lang w:val="en-CA"/>
              </w:rPr>
            </w:pPr>
            <w:r w:rsidRPr="000518BF">
              <w:rPr>
                <w:lang w:val="en-CA"/>
              </w:rPr>
              <w:t>Do not assign a Low Risk or Medium Risk classification until the missing information has been obtained or reviewed by the Deputy CAMLO.</w:t>
            </w:r>
          </w:p>
          <w:p w14:paraId="0CDA5B35" w14:textId="77777777" w:rsidR="000518BF" w:rsidRDefault="000518BF" w:rsidP="000518BF">
            <w:pPr>
              <w:spacing w:after="0" w:line="240" w:lineRule="auto"/>
              <w:rPr>
                <w:lang w:val="en-CA"/>
              </w:rPr>
            </w:pPr>
          </w:p>
          <w:p w14:paraId="6F4D1B67" w14:textId="48769E48" w:rsidR="000518BF" w:rsidRPr="000518BF" w:rsidRDefault="000518BF" w:rsidP="000518BF">
            <w:pPr>
              <w:spacing w:after="0" w:line="240" w:lineRule="auto"/>
              <w:rPr>
                <w:lang w:val="en-CA"/>
              </w:rPr>
            </w:pPr>
            <w:r w:rsidRPr="000518BF">
              <w:rPr>
                <w:b/>
                <w:bCs w:val="0"/>
                <w:color w:val="C00000"/>
                <w:lang w:val="en-CA"/>
              </w:rPr>
              <w:t>STEP 4:</w:t>
            </w:r>
            <w:r>
              <w:rPr>
                <w:lang w:val="en-CA"/>
              </w:rPr>
              <w:t xml:space="preserve"> </w:t>
            </w:r>
            <w:r w:rsidRPr="000518BF">
              <w:rPr>
                <w:lang w:val="en-CA"/>
              </w:rPr>
              <w:t>Complete Section C1 (Minimal Risk Screening).</w:t>
            </w:r>
          </w:p>
          <w:p w14:paraId="7C2122BE" w14:textId="0175A458" w:rsidR="000518BF" w:rsidRPr="000518BF" w:rsidRDefault="000518BF" w:rsidP="000518BF">
            <w:pPr>
              <w:pStyle w:val="ListParagraph"/>
              <w:numPr>
                <w:ilvl w:val="0"/>
                <w:numId w:val="37"/>
              </w:numPr>
              <w:spacing w:after="0" w:line="240" w:lineRule="auto"/>
              <w:rPr>
                <w:lang w:val="en-CA"/>
              </w:rPr>
            </w:pPr>
            <w:r w:rsidRPr="000518BF">
              <w:rPr>
                <w:lang w:val="en-CA"/>
              </w:rPr>
              <w:t>Only proceed with a Minimal Risk classification where ALL C1 criteria are satisfied and no High-Risk Override or Medium-Risk Indicator applies.</w:t>
            </w:r>
          </w:p>
          <w:p w14:paraId="362A8161" w14:textId="77777777" w:rsidR="000518BF" w:rsidRDefault="000518BF" w:rsidP="000518BF">
            <w:pPr>
              <w:spacing w:after="0" w:line="240" w:lineRule="auto"/>
              <w:rPr>
                <w:lang w:val="en-CA"/>
              </w:rPr>
            </w:pPr>
          </w:p>
          <w:p w14:paraId="1E3EDB9F" w14:textId="35B7E34E" w:rsidR="000518BF" w:rsidRPr="000518BF" w:rsidRDefault="000518BF" w:rsidP="000518BF">
            <w:pPr>
              <w:spacing w:after="0" w:line="240" w:lineRule="auto"/>
              <w:rPr>
                <w:lang w:val="en-CA"/>
              </w:rPr>
            </w:pPr>
            <w:r w:rsidRPr="000518BF">
              <w:rPr>
                <w:b/>
                <w:bCs w:val="0"/>
                <w:color w:val="C00000"/>
                <w:lang w:val="en-CA"/>
              </w:rPr>
              <w:t>STEP 5:</w:t>
            </w:r>
            <w:r w:rsidRPr="000518BF">
              <w:rPr>
                <w:lang w:val="en-CA"/>
              </w:rPr>
              <w:t xml:space="preserve"> Complete Section C3 (Medium-Risk Indicators).</w:t>
            </w:r>
          </w:p>
          <w:p w14:paraId="6C7C1B55" w14:textId="273E9B5D" w:rsidR="000518BF" w:rsidRPr="000518BF" w:rsidRDefault="000518BF" w:rsidP="000518BF">
            <w:pPr>
              <w:pStyle w:val="ListParagraph"/>
              <w:numPr>
                <w:ilvl w:val="0"/>
                <w:numId w:val="36"/>
              </w:numPr>
              <w:spacing w:after="0" w:line="240" w:lineRule="auto"/>
              <w:rPr>
                <w:lang w:val="en-CA"/>
              </w:rPr>
            </w:pPr>
            <w:r w:rsidRPr="000518BF">
              <w:rPr>
                <w:lang w:val="en-CA"/>
              </w:rPr>
              <w:t>If one or more Medium-Risk Indicators apply, the client should generally be classified as Medium Risk unless professional judgment supports a higher classification.</w:t>
            </w:r>
          </w:p>
          <w:p w14:paraId="2AA7A414" w14:textId="77777777" w:rsidR="000518BF" w:rsidRDefault="000518BF" w:rsidP="000518BF">
            <w:pPr>
              <w:spacing w:after="0" w:line="240" w:lineRule="auto"/>
              <w:rPr>
                <w:lang w:val="en-CA"/>
              </w:rPr>
            </w:pPr>
          </w:p>
          <w:p w14:paraId="70316B09" w14:textId="4B07803E" w:rsidR="000518BF" w:rsidRPr="000518BF" w:rsidRDefault="000518BF" w:rsidP="000518BF">
            <w:pPr>
              <w:spacing w:after="0" w:line="240" w:lineRule="auto"/>
              <w:rPr>
                <w:lang w:val="en-CA"/>
              </w:rPr>
            </w:pPr>
            <w:r w:rsidRPr="000518BF">
              <w:rPr>
                <w:b/>
                <w:bCs w:val="0"/>
                <w:color w:val="C00000"/>
                <w:lang w:val="en-CA"/>
              </w:rPr>
              <w:t>STEP 6:</w:t>
            </w:r>
            <w:r w:rsidRPr="000518BF">
              <w:rPr>
                <w:lang w:val="en-CA"/>
              </w:rPr>
              <w:t xml:space="preserve"> Complete Section C2 (Low-Risk Indicators).</w:t>
            </w:r>
          </w:p>
          <w:p w14:paraId="32E42C7C" w14:textId="19962786" w:rsidR="000518BF" w:rsidRPr="000518BF" w:rsidRDefault="000518BF" w:rsidP="000518BF">
            <w:pPr>
              <w:pStyle w:val="ListParagraph"/>
              <w:numPr>
                <w:ilvl w:val="0"/>
                <w:numId w:val="35"/>
              </w:numPr>
              <w:spacing w:after="0" w:line="240" w:lineRule="auto"/>
              <w:rPr>
                <w:lang w:val="en-CA"/>
              </w:rPr>
            </w:pPr>
            <w:r w:rsidRPr="000518BF">
              <w:rPr>
                <w:lang w:val="en-CA"/>
              </w:rPr>
              <w:t xml:space="preserve">Low-Risk Indicators support a </w:t>
            </w:r>
            <w:proofErr w:type="gramStart"/>
            <w:r w:rsidRPr="000518BF">
              <w:rPr>
                <w:lang w:val="en-CA"/>
              </w:rPr>
              <w:t>Low Risk</w:t>
            </w:r>
            <w:proofErr w:type="gramEnd"/>
            <w:r w:rsidRPr="000518BF">
              <w:rPr>
                <w:lang w:val="en-CA"/>
              </w:rPr>
              <w:t xml:space="preserve"> classification but cannot reduce a Medium Risk or </w:t>
            </w:r>
            <w:proofErr w:type="gramStart"/>
            <w:r w:rsidRPr="000518BF">
              <w:rPr>
                <w:lang w:val="en-CA"/>
              </w:rPr>
              <w:t>High Risk</w:t>
            </w:r>
            <w:proofErr w:type="gramEnd"/>
            <w:r w:rsidRPr="000518BF">
              <w:rPr>
                <w:lang w:val="en-CA"/>
              </w:rPr>
              <w:t xml:space="preserve"> classification.</w:t>
            </w:r>
          </w:p>
          <w:p w14:paraId="6715BDFB" w14:textId="77777777" w:rsidR="000518BF" w:rsidRDefault="000518BF" w:rsidP="000518BF">
            <w:pPr>
              <w:spacing w:after="0" w:line="240" w:lineRule="auto"/>
              <w:rPr>
                <w:lang w:val="en-CA"/>
              </w:rPr>
            </w:pPr>
          </w:p>
          <w:p w14:paraId="768B6065" w14:textId="0D7F6841" w:rsidR="000518BF" w:rsidRPr="000518BF" w:rsidRDefault="000518BF" w:rsidP="000518BF">
            <w:pPr>
              <w:spacing w:after="0" w:line="240" w:lineRule="auto"/>
              <w:rPr>
                <w:b/>
                <w:bCs w:val="0"/>
                <w:lang w:val="en-CA"/>
              </w:rPr>
            </w:pPr>
            <w:r w:rsidRPr="000518BF">
              <w:rPr>
                <w:b/>
                <w:bCs w:val="0"/>
                <w:color w:val="C00000"/>
                <w:lang w:val="en-CA"/>
              </w:rPr>
              <w:t>STEP 7:</w:t>
            </w:r>
            <w:r>
              <w:rPr>
                <w:lang w:val="en-CA"/>
              </w:rPr>
              <w:t xml:space="preserve"> </w:t>
            </w:r>
            <w:r w:rsidRPr="000518BF">
              <w:rPr>
                <w:lang w:val="en-CA"/>
              </w:rPr>
              <w:t>Complete Sections D, E and F and document the rationale supporting the final classification.</w:t>
            </w:r>
          </w:p>
          <w:p w14:paraId="2BDA7281" w14:textId="7B6350B6" w:rsidR="000518BF" w:rsidRPr="000F1780" w:rsidRDefault="000518BF" w:rsidP="00FB24E2">
            <w:pPr>
              <w:spacing w:after="0" w:line="240" w:lineRule="auto"/>
              <w:rPr>
                <w:b/>
                <w:bCs w:val="0"/>
              </w:rPr>
            </w:pPr>
          </w:p>
        </w:tc>
      </w:tr>
    </w:tbl>
    <w:p w14:paraId="66252A63" w14:textId="17BE0912" w:rsidR="000518BF" w:rsidRDefault="000518BF" w:rsidP="000518BF">
      <w:pPr>
        <w:pStyle w:val="Heading2"/>
        <w:ind w:left="720"/>
      </w:pPr>
    </w:p>
    <w:p w14:paraId="706EC889" w14:textId="77777777" w:rsidR="000518BF" w:rsidRDefault="000518BF">
      <w:pPr>
        <w:rPr>
          <w:rFonts w:asciiTheme="majorHAnsi" w:hAnsiTheme="majorHAnsi"/>
          <w:b/>
          <w:bCs w:val="0"/>
          <w:color w:val="273276" w:themeColor="accent2"/>
          <w:sz w:val="32"/>
          <w:szCs w:val="32"/>
        </w:rPr>
      </w:pPr>
      <w:r>
        <w:br w:type="page"/>
      </w:r>
    </w:p>
    <w:p w14:paraId="54F16EB8" w14:textId="0BEEE072" w:rsidR="00FC7575" w:rsidRDefault="00E17197" w:rsidP="00EA3E7E">
      <w:pPr>
        <w:pStyle w:val="Heading2"/>
        <w:numPr>
          <w:ilvl w:val="0"/>
          <w:numId w:val="14"/>
        </w:numPr>
      </w:pPr>
      <w:r>
        <w:lastRenderedPageBreak/>
        <w:t>Risk Categor</w:t>
      </w:r>
      <w:r w:rsidR="00EA3E7E">
        <w:t>y Overview</w:t>
      </w:r>
    </w:p>
    <w:tbl>
      <w:tblPr>
        <w:tblW w:w="0" w:type="auto"/>
        <w:jc w:val="center"/>
        <w:tblLook w:val="04A0" w:firstRow="1" w:lastRow="0" w:firstColumn="1" w:lastColumn="0" w:noHBand="0" w:noVBand="1"/>
      </w:tblPr>
      <w:tblGrid>
        <w:gridCol w:w="10656"/>
      </w:tblGrid>
      <w:tr w:rsidR="00EA3E7E" w14:paraId="53EB99DC" w14:textId="77777777" w:rsidTr="00AA744A">
        <w:trPr>
          <w:trHeight w:val="1584"/>
          <w:jc w:val="center"/>
        </w:trPr>
        <w:tc>
          <w:tcPr>
            <w:tcW w:w="10656" w:type="dxa"/>
            <w:shd w:val="clear" w:color="auto" w:fill="EEF4FF"/>
            <w:vAlign w:val="center"/>
          </w:tcPr>
          <w:p w14:paraId="4D09EA0C" w14:textId="72933C32" w:rsidR="00EA3E7E" w:rsidRPr="00EA3E7E" w:rsidRDefault="00EA3E7E" w:rsidP="00AA744A">
            <w:r w:rsidRPr="00EA3E7E">
              <w:rPr>
                <w:b/>
                <w:bCs w:val="0"/>
              </w:rPr>
              <w:t>HOW TO USE THIS SECTION</w:t>
            </w:r>
            <w:r w:rsidR="00120654">
              <w:rPr>
                <w:b/>
                <w:bCs w:val="0"/>
              </w:rPr>
              <w:t>:</w:t>
            </w:r>
          </w:p>
          <w:p w14:paraId="2E6AD7F5" w14:textId="3178D1E5" w:rsidR="00EA3E7E" w:rsidRDefault="0064173B" w:rsidP="00AA744A">
            <w:pPr>
              <w:pStyle w:val="ListParagraph"/>
              <w:ind w:left="0"/>
            </w:pPr>
            <w:r>
              <w:t xml:space="preserve">This section provides a summary of the four risk classifications available under the </w:t>
            </w:r>
            <w:r w:rsidRPr="002727DA">
              <w:rPr>
                <w:b/>
                <w:bCs w:val="0"/>
              </w:rPr>
              <w:t>CSS AML/FINTRAC</w:t>
            </w:r>
            <w:r>
              <w:t xml:space="preserve"> Risk Assessment Model (</w:t>
            </w:r>
            <w:r w:rsidRPr="0064173B">
              <w:rPr>
                <w:b/>
                <w:bCs w:val="0"/>
              </w:rPr>
              <w:t>RAM</w:t>
            </w:r>
            <w:r>
              <w:t>). Please read carefully.</w:t>
            </w:r>
            <w:r w:rsidR="00F22E78">
              <w:t xml:space="preserve"> Use the </w:t>
            </w:r>
            <w:r w:rsidR="00404942">
              <w:t xml:space="preserve">RAM-based FINTRAC CSS Risk Assessment Screening document for further information on Risk Classification, located on the CSS </w:t>
            </w:r>
            <w:r w:rsidR="00625C46">
              <w:t>dashboard</w:t>
            </w:r>
            <w:r w:rsidR="00404942">
              <w:t xml:space="preserve">. </w:t>
            </w:r>
          </w:p>
        </w:tc>
      </w:tr>
    </w:tbl>
    <w:p w14:paraId="107A6E2F" w14:textId="77777777" w:rsidR="00EA3E7E" w:rsidRPr="00AA744A" w:rsidRDefault="00EA3E7E" w:rsidP="00EA3E7E">
      <w:pPr>
        <w:rPr>
          <w:sz w:val="2"/>
          <w:szCs w:val="2"/>
        </w:rPr>
      </w:pPr>
    </w:p>
    <w:tbl>
      <w:tblPr>
        <w:tblStyle w:val="TableGrid"/>
        <w:tblW w:w="0" w:type="auto"/>
        <w:jc w:val="center"/>
        <w:tblLook w:val="04A0" w:firstRow="1" w:lastRow="0" w:firstColumn="1" w:lastColumn="0" w:noHBand="0" w:noVBand="1"/>
      </w:tblPr>
      <w:tblGrid>
        <w:gridCol w:w="2425"/>
        <w:gridCol w:w="2340"/>
        <w:gridCol w:w="2340"/>
        <w:gridCol w:w="3510"/>
      </w:tblGrid>
      <w:tr w:rsidR="00FC7575" w14:paraId="604C6F12" w14:textId="77777777" w:rsidTr="00AA744A">
        <w:trPr>
          <w:trHeight w:val="576"/>
          <w:jc w:val="center"/>
        </w:trPr>
        <w:tc>
          <w:tcPr>
            <w:tcW w:w="2425" w:type="dxa"/>
            <w:shd w:val="clear" w:color="auto" w:fill="009900" w:themeFill="accent5"/>
            <w:vAlign w:val="center"/>
          </w:tcPr>
          <w:p w14:paraId="4D3177BD" w14:textId="1E475BB4" w:rsidR="00FC7575" w:rsidRPr="002A6985" w:rsidRDefault="00A5752C" w:rsidP="00603FA9">
            <w:pPr>
              <w:jc w:val="center"/>
              <w:rPr>
                <w:b/>
                <w:bCs w:val="0"/>
                <w:color w:val="FFFFFF" w:themeColor="background1"/>
              </w:rPr>
            </w:pPr>
            <w:r w:rsidRPr="002A6985">
              <w:rPr>
                <w:b/>
                <w:bCs w:val="0"/>
                <w:color w:val="FFFFFF" w:themeColor="background1"/>
              </w:rPr>
              <w:t xml:space="preserve">1. </w:t>
            </w:r>
            <w:r w:rsidR="00C444BF" w:rsidRPr="00C444BF">
              <w:rPr>
                <w:b/>
                <w:bCs w:val="0"/>
                <w:color w:val="FFFFFF" w:themeColor="background1"/>
              </w:rPr>
              <w:t>Minimal Risk</w:t>
            </w:r>
          </w:p>
        </w:tc>
        <w:tc>
          <w:tcPr>
            <w:tcW w:w="2340" w:type="dxa"/>
            <w:shd w:val="clear" w:color="auto" w:fill="273276" w:themeFill="accent2"/>
            <w:vAlign w:val="center"/>
          </w:tcPr>
          <w:p w14:paraId="7DCB60E7" w14:textId="77777777" w:rsidR="00FC7575" w:rsidRPr="002A6985" w:rsidRDefault="00A5752C" w:rsidP="00603FA9">
            <w:pPr>
              <w:jc w:val="center"/>
              <w:rPr>
                <w:b/>
                <w:bCs w:val="0"/>
                <w:color w:val="FFFFFF" w:themeColor="background1"/>
              </w:rPr>
            </w:pPr>
            <w:r w:rsidRPr="002A6985">
              <w:rPr>
                <w:b/>
                <w:bCs w:val="0"/>
                <w:color w:val="FFFFFF" w:themeColor="background1"/>
              </w:rPr>
              <w:t>2. Low Risk</w:t>
            </w:r>
          </w:p>
        </w:tc>
        <w:tc>
          <w:tcPr>
            <w:tcW w:w="2340" w:type="dxa"/>
            <w:shd w:val="clear" w:color="auto" w:fill="FFC000"/>
            <w:vAlign w:val="center"/>
          </w:tcPr>
          <w:p w14:paraId="7E51768D" w14:textId="77777777" w:rsidR="00FC7575" w:rsidRPr="002A6985" w:rsidRDefault="00A5752C" w:rsidP="00603FA9">
            <w:pPr>
              <w:jc w:val="center"/>
              <w:rPr>
                <w:b/>
                <w:bCs w:val="0"/>
                <w:color w:val="FFFFFF" w:themeColor="background1"/>
              </w:rPr>
            </w:pPr>
            <w:r w:rsidRPr="002A6985">
              <w:rPr>
                <w:b/>
                <w:bCs w:val="0"/>
                <w:color w:val="FFFFFF" w:themeColor="background1"/>
              </w:rPr>
              <w:t>3. Medium Risk</w:t>
            </w:r>
          </w:p>
        </w:tc>
        <w:tc>
          <w:tcPr>
            <w:tcW w:w="3510" w:type="dxa"/>
            <w:shd w:val="clear" w:color="auto" w:fill="C00000"/>
            <w:vAlign w:val="center"/>
          </w:tcPr>
          <w:p w14:paraId="163DEA26" w14:textId="77777777" w:rsidR="00FC7575" w:rsidRPr="00603FA9" w:rsidRDefault="00A5752C" w:rsidP="00603FA9">
            <w:pPr>
              <w:jc w:val="center"/>
              <w:rPr>
                <w:b/>
                <w:bCs w:val="0"/>
              </w:rPr>
            </w:pPr>
            <w:r w:rsidRPr="00603FA9">
              <w:rPr>
                <w:b/>
                <w:bCs w:val="0"/>
              </w:rPr>
              <w:t>4. High Risk</w:t>
            </w:r>
          </w:p>
        </w:tc>
      </w:tr>
      <w:tr w:rsidR="00FC7575" w14:paraId="72B20AD2" w14:textId="77777777" w:rsidTr="0064173B">
        <w:trPr>
          <w:trHeight w:val="2736"/>
          <w:jc w:val="center"/>
        </w:trPr>
        <w:tc>
          <w:tcPr>
            <w:tcW w:w="2425" w:type="dxa"/>
            <w:shd w:val="clear" w:color="auto" w:fill="DDFFDD"/>
            <w:vAlign w:val="center"/>
          </w:tcPr>
          <w:p w14:paraId="6F4DF960" w14:textId="2A54FC90" w:rsidR="00FC7575" w:rsidRDefault="00A5752C" w:rsidP="00D070F6">
            <w:r>
              <w:t xml:space="preserve">Only if the engagement is </w:t>
            </w:r>
            <w:r w:rsidR="0064173B">
              <w:t>A</w:t>
            </w:r>
            <w:r>
              <w:t xml:space="preserve">dvisory under the </w:t>
            </w:r>
            <w:r w:rsidRPr="0064173B">
              <w:rPr>
                <w:b/>
                <w:bCs w:val="0"/>
              </w:rPr>
              <w:t>RAM</w:t>
            </w:r>
            <w:r>
              <w:t xml:space="preserve"> AND there is no funds movement, trust account activity, ownership concern, or other risk indicator.</w:t>
            </w:r>
          </w:p>
        </w:tc>
        <w:tc>
          <w:tcPr>
            <w:tcW w:w="2340" w:type="dxa"/>
            <w:shd w:val="clear" w:color="auto" w:fill="E8EAF8"/>
            <w:vAlign w:val="center"/>
          </w:tcPr>
          <w:p w14:paraId="1D64D109" w14:textId="77777777" w:rsidR="00FC7575" w:rsidRDefault="00A5752C" w:rsidP="00D070F6">
            <w:r>
              <w:t>Straightforward, local, transparent, known relationship with no medium/high indicators. Basic screening plus simplified monitoring.</w:t>
            </w:r>
          </w:p>
        </w:tc>
        <w:tc>
          <w:tcPr>
            <w:tcW w:w="2340" w:type="dxa"/>
            <w:shd w:val="clear" w:color="auto" w:fill="FFF5D5"/>
            <w:vAlign w:val="center"/>
          </w:tcPr>
          <w:p w14:paraId="3FB4152B" w14:textId="09B8F5FE" w:rsidR="00FC7575" w:rsidRDefault="00A5752C" w:rsidP="00D070F6">
            <w:r>
              <w:t xml:space="preserve">Any medium-risk service or indicator with no high-risk override. Standard </w:t>
            </w:r>
            <w:r w:rsidR="0064173B">
              <w:t>Know Your Client (</w:t>
            </w:r>
            <w:r w:rsidR="0064173B" w:rsidRPr="0064173B">
              <w:rPr>
                <w:b/>
                <w:bCs w:val="0"/>
              </w:rPr>
              <w:t>KYC</w:t>
            </w:r>
            <w:r w:rsidR="0064173B">
              <w:t>)</w:t>
            </w:r>
            <w:r>
              <w:t>/</w:t>
            </w:r>
            <w:r w:rsidR="0064173B">
              <w:t>Client Due Diligence (</w:t>
            </w:r>
            <w:r w:rsidR="0064173B" w:rsidRPr="0064173B">
              <w:rPr>
                <w:b/>
                <w:bCs w:val="0"/>
              </w:rPr>
              <w:t>CDD</w:t>
            </w:r>
            <w:r w:rsidR="0064173B">
              <w:t>)</w:t>
            </w:r>
            <w:r>
              <w:t xml:space="preserve"> is required.</w:t>
            </w:r>
          </w:p>
        </w:tc>
        <w:tc>
          <w:tcPr>
            <w:tcW w:w="3510" w:type="dxa"/>
            <w:shd w:val="clear" w:color="auto" w:fill="FDE3E3"/>
            <w:vAlign w:val="center"/>
          </w:tcPr>
          <w:p w14:paraId="17B5E2F3" w14:textId="40014E02" w:rsidR="0064173B" w:rsidRDefault="00A5752C" w:rsidP="00D070F6">
            <w:r>
              <w:t xml:space="preserve">Any high-risk override, </w:t>
            </w:r>
            <w:r w:rsidR="0064173B">
              <w:t>Politically Exposed Person (</w:t>
            </w:r>
            <w:r w:rsidRPr="0064173B">
              <w:rPr>
                <w:b/>
                <w:bCs w:val="0"/>
              </w:rPr>
              <w:t>PEP</w:t>
            </w:r>
            <w:r w:rsidR="0064173B">
              <w:t>)</w:t>
            </w:r>
            <w:r>
              <w:t>/</w:t>
            </w:r>
            <w:r w:rsidR="0064173B">
              <w:t xml:space="preserve"> </w:t>
            </w:r>
            <w:r w:rsidR="0064173B" w:rsidRPr="0064173B">
              <w:t>Head of an International Organization</w:t>
            </w:r>
          </w:p>
          <w:p w14:paraId="7A9CF6B9" w14:textId="697A0AD2" w:rsidR="00FC7575" w:rsidRDefault="0064173B" w:rsidP="00D070F6">
            <w:r>
              <w:t>(</w:t>
            </w:r>
            <w:r w:rsidR="00A5752C" w:rsidRPr="0064173B">
              <w:rPr>
                <w:b/>
                <w:bCs w:val="0"/>
              </w:rPr>
              <w:t>HIO</w:t>
            </w:r>
            <w:r>
              <w:t>)</w:t>
            </w:r>
            <w:r w:rsidR="00A5752C">
              <w:t xml:space="preserve">, listed/sanctioned person, suspicious activity, refusal to provide information, opaque ownership, or high-risk service. Expanded/Enhanced </w:t>
            </w:r>
            <w:r>
              <w:t>Know Your Client (</w:t>
            </w:r>
            <w:r w:rsidRPr="0064173B">
              <w:rPr>
                <w:b/>
                <w:bCs w:val="0"/>
              </w:rPr>
              <w:t>KYC</w:t>
            </w:r>
            <w:r>
              <w:t>)/</w:t>
            </w:r>
            <w:r w:rsidR="00120654">
              <w:t>Enhanced</w:t>
            </w:r>
            <w:r>
              <w:t xml:space="preserve"> Due Diligence (</w:t>
            </w:r>
            <w:r w:rsidR="00120654" w:rsidRPr="00120654">
              <w:rPr>
                <w:b/>
                <w:bCs w:val="0"/>
              </w:rPr>
              <w:t>E</w:t>
            </w:r>
            <w:r w:rsidRPr="0064173B">
              <w:rPr>
                <w:b/>
                <w:bCs w:val="0"/>
              </w:rPr>
              <w:t>DD</w:t>
            </w:r>
            <w:r>
              <w:t>)</w:t>
            </w:r>
            <w:r w:rsidR="00A5752C">
              <w:t xml:space="preserve"> is required.</w:t>
            </w:r>
          </w:p>
        </w:tc>
      </w:tr>
    </w:tbl>
    <w:p w14:paraId="72E17B6A" w14:textId="77777777" w:rsidR="00C90A92" w:rsidRPr="00AA744A" w:rsidRDefault="00C90A92" w:rsidP="00AA744A">
      <w:pPr>
        <w:rPr>
          <w:sz w:val="4"/>
          <w:szCs w:val="4"/>
        </w:rPr>
      </w:pPr>
    </w:p>
    <w:p w14:paraId="3355FE9F" w14:textId="0EBCB1B1" w:rsidR="00FC7575" w:rsidRDefault="00B776A6" w:rsidP="00EA3E7E">
      <w:pPr>
        <w:pStyle w:val="Heading2"/>
        <w:numPr>
          <w:ilvl w:val="0"/>
          <w:numId w:val="14"/>
        </w:numPr>
      </w:pPr>
      <w:r>
        <w:t xml:space="preserve">CSS </w:t>
      </w:r>
      <w:r w:rsidR="00A5752C">
        <w:t>Auto-High Risk Override Questions</w:t>
      </w:r>
    </w:p>
    <w:tbl>
      <w:tblPr>
        <w:tblW w:w="10980" w:type="dxa"/>
        <w:jc w:val="center"/>
        <w:shd w:val="clear" w:color="auto" w:fill="FEF4F4"/>
        <w:tblLook w:val="04A0" w:firstRow="1" w:lastRow="0" w:firstColumn="1" w:lastColumn="0" w:noHBand="0" w:noVBand="1"/>
      </w:tblPr>
      <w:tblGrid>
        <w:gridCol w:w="10980"/>
      </w:tblGrid>
      <w:tr w:rsidR="00FC7575" w14:paraId="7CCA0E85" w14:textId="77777777" w:rsidTr="00475D04">
        <w:trPr>
          <w:trHeight w:val="576"/>
          <w:jc w:val="center"/>
        </w:trPr>
        <w:tc>
          <w:tcPr>
            <w:tcW w:w="10980" w:type="dxa"/>
            <w:shd w:val="clear" w:color="auto" w:fill="FEF4F4"/>
            <w:vAlign w:val="center"/>
          </w:tcPr>
          <w:p w14:paraId="0AFE9CFD" w14:textId="77777777" w:rsidR="00120654" w:rsidRDefault="00120654" w:rsidP="00AA744A">
            <w:pPr>
              <w:rPr>
                <w:b/>
                <w:bCs w:val="0"/>
              </w:rPr>
            </w:pPr>
            <w:r w:rsidRPr="00EA3E7E">
              <w:rPr>
                <w:b/>
                <w:bCs w:val="0"/>
              </w:rPr>
              <w:t>HOW TO USE THIS SECTION</w:t>
            </w:r>
            <w:r>
              <w:rPr>
                <w:b/>
                <w:bCs w:val="0"/>
              </w:rPr>
              <w:t>:</w:t>
            </w:r>
          </w:p>
          <w:p w14:paraId="48F8C23C" w14:textId="77777777" w:rsidR="00120654" w:rsidRDefault="00120654" w:rsidP="00AA744A">
            <w:pPr>
              <w:rPr>
                <w:lang w:val="en-CA"/>
              </w:rPr>
            </w:pPr>
            <w:r w:rsidRPr="00120654">
              <w:rPr>
                <w:lang w:val="en-CA"/>
              </w:rPr>
              <w:t xml:space="preserve">Review each question carefully and select </w:t>
            </w:r>
            <w:r w:rsidRPr="00120654">
              <w:rPr>
                <w:b/>
                <w:bCs w:val="0"/>
                <w:lang w:val="en-CA"/>
              </w:rPr>
              <w:t>Yes, No, or Unknown</w:t>
            </w:r>
            <w:r w:rsidRPr="00120654">
              <w:rPr>
                <w:lang w:val="en-CA"/>
              </w:rPr>
              <w:t>.</w:t>
            </w:r>
          </w:p>
          <w:p w14:paraId="0A406439" w14:textId="77777777" w:rsidR="00120654" w:rsidRPr="00120654" w:rsidRDefault="00120654" w:rsidP="00AA744A">
            <w:pPr>
              <w:rPr>
                <w:b/>
                <w:bCs w:val="0"/>
                <w:lang w:val="en-CA"/>
              </w:rPr>
            </w:pPr>
            <w:r w:rsidRPr="00120654">
              <w:rPr>
                <w:b/>
                <w:bCs w:val="0"/>
                <w:lang w:val="en-CA"/>
              </w:rPr>
              <w:t>IMPORTANT:</w:t>
            </w:r>
          </w:p>
          <w:p w14:paraId="3A932A37" w14:textId="77777777" w:rsidR="00AE7238" w:rsidRDefault="00120654" w:rsidP="005E2892">
            <w:pPr>
              <w:pStyle w:val="ListParagraph"/>
              <w:numPr>
                <w:ilvl w:val="0"/>
                <w:numId w:val="18"/>
              </w:numPr>
              <w:rPr>
                <w:lang w:val="en-CA"/>
              </w:rPr>
            </w:pPr>
            <w:r w:rsidRPr="00120654">
              <w:rPr>
                <w:lang w:val="en-CA"/>
              </w:rPr>
              <w:t xml:space="preserve">If </w:t>
            </w:r>
            <w:r w:rsidRPr="00120654">
              <w:rPr>
                <w:b/>
                <w:bCs w:val="0"/>
                <w:lang w:val="en-CA"/>
              </w:rPr>
              <w:t>ANY</w:t>
            </w:r>
            <w:r w:rsidRPr="00120654">
              <w:rPr>
                <w:lang w:val="en-CA"/>
              </w:rPr>
              <w:t xml:space="preserve"> question is answered Yes, the client must automatically be classified as </w:t>
            </w:r>
            <w:r w:rsidRPr="00120654">
              <w:rPr>
                <w:b/>
                <w:bCs w:val="0"/>
                <w:color w:val="C00000"/>
                <w:lang w:val="en-CA"/>
              </w:rPr>
              <w:t>HIGH RISK</w:t>
            </w:r>
            <w:r w:rsidRPr="00120654">
              <w:rPr>
                <w:lang w:val="en-CA"/>
              </w:rPr>
              <w:t>.</w:t>
            </w:r>
          </w:p>
          <w:p w14:paraId="40BA429E" w14:textId="449A7F5D" w:rsidR="00475D04" w:rsidRPr="00475D04" w:rsidRDefault="00475D04" w:rsidP="005E2892">
            <w:pPr>
              <w:pStyle w:val="ListParagraph"/>
              <w:numPr>
                <w:ilvl w:val="0"/>
                <w:numId w:val="18"/>
              </w:numPr>
              <w:rPr>
                <w:color w:val="C00000"/>
                <w:lang w:val="en-CA"/>
              </w:rPr>
            </w:pPr>
            <w:r w:rsidRPr="00475D04">
              <w:rPr>
                <w:lang w:val="en-CA"/>
              </w:rPr>
              <w:t>This classification cannot be reduced by responses elsewhere in the questionnaire.</w:t>
            </w:r>
            <w:r>
              <w:rPr>
                <w:lang w:val="en-CA"/>
              </w:rPr>
              <w:t xml:space="preserve"> </w:t>
            </w:r>
          </w:p>
          <w:p w14:paraId="0CF104B2" w14:textId="77777777" w:rsidR="00475D04" w:rsidRPr="00475D04" w:rsidRDefault="00475D04" w:rsidP="00475D04">
            <w:pPr>
              <w:pStyle w:val="ListParagraph"/>
              <w:numPr>
                <w:ilvl w:val="0"/>
                <w:numId w:val="18"/>
              </w:numPr>
              <w:rPr>
                <w:lang w:val="en-CA"/>
              </w:rPr>
            </w:pPr>
            <w:r w:rsidRPr="00475D04">
              <w:rPr>
                <w:lang w:val="en-CA"/>
              </w:rPr>
              <w:t>Do not use Section C to reduce a High-Risk classification once a High-Risk Override has been triggered.</w:t>
            </w:r>
          </w:p>
          <w:p w14:paraId="68655D01" w14:textId="77777777" w:rsidR="00475D04" w:rsidRPr="00475D04" w:rsidRDefault="00475D04" w:rsidP="00475D04">
            <w:pPr>
              <w:pStyle w:val="ListParagraph"/>
              <w:numPr>
                <w:ilvl w:val="0"/>
                <w:numId w:val="18"/>
              </w:numPr>
              <w:rPr>
                <w:lang w:val="en-CA"/>
              </w:rPr>
            </w:pPr>
            <w:r w:rsidRPr="00475D04">
              <w:rPr>
                <w:lang w:val="en-CA"/>
              </w:rPr>
              <w:t>Where a High-Risk Override applies, the client remains High Risk regardless of responses elsewhere in the questionnaire.</w:t>
            </w:r>
          </w:p>
          <w:p w14:paraId="63DF0CAC" w14:textId="77777777" w:rsidR="00475D04" w:rsidRPr="00475D04" w:rsidRDefault="00475D04" w:rsidP="00475D04">
            <w:pPr>
              <w:pStyle w:val="ListParagraph"/>
              <w:numPr>
                <w:ilvl w:val="0"/>
                <w:numId w:val="18"/>
              </w:numPr>
              <w:rPr>
                <w:color w:val="C00000"/>
                <w:lang w:val="en-CA"/>
              </w:rPr>
            </w:pPr>
            <w:r>
              <w:rPr>
                <w:lang w:val="en-CA"/>
              </w:rPr>
              <w:t>C</w:t>
            </w:r>
            <w:r w:rsidRPr="00475D04">
              <w:rPr>
                <w:lang w:val="en-CA"/>
              </w:rPr>
              <w:t>ontinue completing Sections C, D, E and F for documentation, monitoring, and Enhanced Due Diligence purposes.</w:t>
            </w:r>
          </w:p>
          <w:p w14:paraId="1F9577E6" w14:textId="7822A349" w:rsidR="005E2892" w:rsidRPr="009559D5" w:rsidRDefault="005E2892" w:rsidP="00475D04">
            <w:pPr>
              <w:pStyle w:val="ListParagraph"/>
              <w:numPr>
                <w:ilvl w:val="0"/>
                <w:numId w:val="18"/>
              </w:numPr>
              <w:rPr>
                <w:color w:val="C00000"/>
                <w:lang w:val="en-CA"/>
              </w:rPr>
            </w:pPr>
            <w:r w:rsidRPr="009559D5">
              <w:rPr>
                <w:b/>
                <w:bCs w:val="0"/>
                <w:color w:val="C00000"/>
                <w:lang w:val="en-CA"/>
              </w:rPr>
              <w:t xml:space="preserve">Where a High-Risk Override question is answered </w:t>
            </w:r>
            <w:r w:rsidRPr="009559D5">
              <w:rPr>
                <w:b/>
                <w:bCs w:val="0"/>
                <w:lang w:val="en-CA"/>
              </w:rPr>
              <w:t>Unknown</w:t>
            </w:r>
            <w:r w:rsidRPr="009559D5">
              <w:rPr>
                <w:color w:val="C00000"/>
                <w:lang w:val="en-CA"/>
              </w:rPr>
              <w:t>:</w:t>
            </w:r>
          </w:p>
          <w:p w14:paraId="37EECC67" w14:textId="1ED6555C" w:rsidR="005E2892" w:rsidRPr="009559D5" w:rsidRDefault="005E2892" w:rsidP="005E2892">
            <w:pPr>
              <w:pStyle w:val="ListParagraph"/>
              <w:numPr>
                <w:ilvl w:val="0"/>
                <w:numId w:val="26"/>
              </w:numPr>
              <w:spacing w:after="0" w:line="240" w:lineRule="auto"/>
              <w:rPr>
                <w:i/>
                <w:iCs/>
                <w:color w:val="C00000"/>
                <w:lang w:val="en-CA"/>
              </w:rPr>
            </w:pPr>
            <w:r w:rsidRPr="009559D5">
              <w:rPr>
                <w:i/>
                <w:iCs/>
                <w:color w:val="C00000"/>
                <w:lang w:val="en-CA"/>
              </w:rPr>
              <w:t xml:space="preserve">the client shall not automatically be classified as High Risk solely because the information is unknown; </w:t>
            </w:r>
          </w:p>
          <w:p w14:paraId="5F246C73" w14:textId="77777777" w:rsidR="005E2892" w:rsidRPr="009559D5" w:rsidRDefault="005E2892" w:rsidP="005E2892">
            <w:pPr>
              <w:numPr>
                <w:ilvl w:val="0"/>
                <w:numId w:val="26"/>
              </w:numPr>
              <w:spacing w:after="0" w:line="240" w:lineRule="auto"/>
              <w:rPr>
                <w:i/>
                <w:iCs/>
                <w:color w:val="C00000"/>
                <w:lang w:val="en-CA"/>
              </w:rPr>
            </w:pPr>
            <w:r w:rsidRPr="009559D5">
              <w:rPr>
                <w:i/>
                <w:iCs/>
                <w:color w:val="C00000"/>
                <w:lang w:val="en-CA"/>
              </w:rPr>
              <w:t xml:space="preserve">the missing information must be investigated promptly; </w:t>
            </w:r>
          </w:p>
          <w:p w14:paraId="13615A3C" w14:textId="51849AFE" w:rsidR="005E2892" w:rsidRPr="009559D5" w:rsidRDefault="005E2892" w:rsidP="005E2892">
            <w:pPr>
              <w:numPr>
                <w:ilvl w:val="0"/>
                <w:numId w:val="26"/>
              </w:numPr>
              <w:spacing w:after="0" w:line="240" w:lineRule="auto"/>
              <w:rPr>
                <w:i/>
                <w:iCs/>
                <w:color w:val="C00000"/>
                <w:lang w:val="en-CA"/>
              </w:rPr>
            </w:pPr>
            <w:r w:rsidRPr="009559D5">
              <w:rPr>
                <w:i/>
                <w:iCs/>
                <w:color w:val="C00000"/>
                <w:lang w:val="en-CA"/>
              </w:rPr>
              <w:t>the rationale for the Unknown response must be documented in Section</w:t>
            </w:r>
            <w:r w:rsidR="00E84930" w:rsidRPr="009559D5">
              <w:rPr>
                <w:i/>
                <w:iCs/>
                <w:color w:val="C00000"/>
                <w:lang w:val="en-CA"/>
              </w:rPr>
              <w:t xml:space="preserve"> D</w:t>
            </w:r>
            <w:r w:rsidRPr="009559D5">
              <w:rPr>
                <w:i/>
                <w:iCs/>
                <w:color w:val="C00000"/>
                <w:lang w:val="en-CA"/>
              </w:rPr>
              <w:t xml:space="preserve">; </w:t>
            </w:r>
          </w:p>
          <w:p w14:paraId="18CF7D33" w14:textId="77777777" w:rsidR="005E2892" w:rsidRPr="009559D5" w:rsidRDefault="005E2892" w:rsidP="005E2892">
            <w:pPr>
              <w:numPr>
                <w:ilvl w:val="0"/>
                <w:numId w:val="26"/>
              </w:numPr>
              <w:spacing w:after="0" w:line="240" w:lineRule="auto"/>
              <w:rPr>
                <w:i/>
                <w:iCs/>
                <w:color w:val="C00000"/>
                <w:lang w:val="en-CA"/>
              </w:rPr>
            </w:pPr>
            <w:r w:rsidRPr="009559D5">
              <w:rPr>
                <w:i/>
                <w:iCs/>
                <w:color w:val="C00000"/>
                <w:lang w:val="en-CA"/>
              </w:rPr>
              <w:t xml:space="preserve">the matter should be escalated to the Deputy CAMLO whenever the missing information relates to ownership, beneficial ownership, source of funds, source of wealth, sanctions, PEP/HIO status, suspicious activity, or third-party involvement; and </w:t>
            </w:r>
          </w:p>
          <w:p w14:paraId="43EE4F30" w14:textId="6B02D95A" w:rsidR="00AE7238" w:rsidRPr="009559D5" w:rsidRDefault="005E2892" w:rsidP="005E2892">
            <w:pPr>
              <w:pStyle w:val="ListParagraph"/>
              <w:numPr>
                <w:ilvl w:val="0"/>
                <w:numId w:val="26"/>
              </w:numPr>
              <w:rPr>
                <w:i/>
                <w:iCs/>
                <w:color w:val="C00000"/>
                <w:lang w:val="en-CA"/>
              </w:rPr>
            </w:pPr>
            <w:r w:rsidRPr="009559D5">
              <w:rPr>
                <w:i/>
                <w:iCs/>
                <w:color w:val="C00000"/>
                <w:lang w:val="en-CA"/>
              </w:rPr>
              <w:lastRenderedPageBreak/>
              <w:t>the client should not be classified as a Low or Medium Risk until the matter has been resolved.</w:t>
            </w:r>
            <w:r w:rsidR="00AE7238" w:rsidRPr="009559D5">
              <w:rPr>
                <w:i/>
                <w:iCs/>
                <w:color w:val="C00000"/>
                <w:lang w:val="en-CA"/>
              </w:rPr>
              <w:t xml:space="preserve"> </w:t>
            </w:r>
          </w:p>
          <w:p w14:paraId="0A56C322" w14:textId="77777777" w:rsidR="00AE7238" w:rsidRDefault="00120654" w:rsidP="00B776A6">
            <w:pPr>
              <w:pStyle w:val="ListParagraph"/>
              <w:numPr>
                <w:ilvl w:val="0"/>
                <w:numId w:val="18"/>
              </w:numPr>
              <w:rPr>
                <w:lang w:val="en-CA"/>
              </w:rPr>
            </w:pPr>
            <w:r w:rsidRPr="00120654">
              <w:rPr>
                <w:lang w:val="en-CA"/>
              </w:rPr>
              <w:t>Complete Enhanced Due Diligence (</w:t>
            </w:r>
            <w:r w:rsidRPr="00120654">
              <w:rPr>
                <w:b/>
                <w:bCs w:val="0"/>
                <w:lang w:val="en-CA"/>
              </w:rPr>
              <w:t>EDD</w:t>
            </w:r>
            <w:r w:rsidRPr="00120654">
              <w:rPr>
                <w:lang w:val="en-CA"/>
              </w:rPr>
              <w:t>) requirements where applicable.</w:t>
            </w:r>
          </w:p>
          <w:p w14:paraId="26DB7BC0" w14:textId="77777777" w:rsidR="00475D04" w:rsidRPr="00475D04" w:rsidRDefault="00475D04" w:rsidP="00475D04">
            <w:pPr>
              <w:pStyle w:val="ListParagraph"/>
              <w:numPr>
                <w:ilvl w:val="0"/>
                <w:numId w:val="18"/>
              </w:numPr>
              <w:rPr>
                <w:lang w:val="en-CA"/>
              </w:rPr>
            </w:pPr>
            <w:r w:rsidRPr="00475D04">
              <w:rPr>
                <w:lang w:val="en-CA"/>
              </w:rPr>
              <w:t>Where a material High-Risk Override question is answered Unknown, the file shall be classified as Pending Review until the missing information has been obtained, verified, or reviewed by the Deputy CAMLO.</w:t>
            </w:r>
          </w:p>
          <w:p w14:paraId="4D274B98" w14:textId="77777777" w:rsidR="00475D04" w:rsidRPr="00475D04" w:rsidRDefault="00475D04" w:rsidP="00475D04">
            <w:pPr>
              <w:pStyle w:val="ListParagraph"/>
              <w:numPr>
                <w:ilvl w:val="0"/>
                <w:numId w:val="18"/>
              </w:numPr>
              <w:rPr>
                <w:lang w:val="en-CA"/>
              </w:rPr>
            </w:pPr>
            <w:r w:rsidRPr="00475D04">
              <w:rPr>
                <w:lang w:val="en-CA"/>
              </w:rPr>
              <w:t>Pending Review files shall not be classified as Minimal Risk, Low Risk, or Medium Risk until the matter has been resolved.</w:t>
            </w:r>
          </w:p>
          <w:p w14:paraId="31B16059" w14:textId="6C4AC1A2" w:rsidR="00475D04" w:rsidRPr="00B776A6" w:rsidRDefault="00475D04" w:rsidP="00475D04">
            <w:pPr>
              <w:pStyle w:val="ListParagraph"/>
              <w:rPr>
                <w:lang w:val="en-CA"/>
              </w:rPr>
            </w:pPr>
          </w:p>
        </w:tc>
      </w:tr>
    </w:tbl>
    <w:p w14:paraId="6E9BFC80" w14:textId="77777777" w:rsidR="00FC7575" w:rsidRPr="00461A99" w:rsidRDefault="00FC7575" w:rsidP="00935C44">
      <w:pPr>
        <w:rPr>
          <w:sz w:val="8"/>
          <w:szCs w:val="8"/>
        </w:rPr>
      </w:pPr>
    </w:p>
    <w:tbl>
      <w:tblPr>
        <w:tblStyle w:val="TableGrid"/>
        <w:tblW w:w="0" w:type="auto"/>
        <w:jc w:val="center"/>
        <w:tblLook w:val="04A0" w:firstRow="1" w:lastRow="0" w:firstColumn="1" w:lastColumn="0" w:noHBand="0" w:noVBand="1"/>
      </w:tblPr>
      <w:tblGrid>
        <w:gridCol w:w="3550"/>
        <w:gridCol w:w="3547"/>
        <w:gridCol w:w="3549"/>
      </w:tblGrid>
      <w:tr w:rsidR="00FC7575" w14:paraId="27B4C78F" w14:textId="77777777" w:rsidTr="00603FA9">
        <w:trPr>
          <w:jc w:val="center"/>
        </w:trPr>
        <w:tc>
          <w:tcPr>
            <w:tcW w:w="3552" w:type="dxa"/>
            <w:shd w:val="clear" w:color="auto" w:fill="C62828"/>
            <w:vAlign w:val="center"/>
          </w:tcPr>
          <w:p w14:paraId="7132A1D3" w14:textId="77777777" w:rsidR="00FC7575" w:rsidRPr="009C3EF8" w:rsidRDefault="00A5752C" w:rsidP="00603FA9">
            <w:pPr>
              <w:jc w:val="center"/>
              <w:rPr>
                <w:b/>
                <w:bCs w:val="0"/>
                <w:color w:val="FFFFFF" w:themeColor="background1"/>
                <w:sz w:val="24"/>
                <w:szCs w:val="24"/>
              </w:rPr>
            </w:pPr>
            <w:r w:rsidRPr="009C3EF8">
              <w:rPr>
                <w:b/>
                <w:bCs w:val="0"/>
                <w:color w:val="FFFFFF" w:themeColor="background1"/>
                <w:sz w:val="24"/>
                <w:szCs w:val="24"/>
              </w:rPr>
              <w:t>Question</w:t>
            </w:r>
          </w:p>
        </w:tc>
        <w:tc>
          <w:tcPr>
            <w:tcW w:w="3552" w:type="dxa"/>
            <w:shd w:val="clear" w:color="auto" w:fill="C62828"/>
            <w:vAlign w:val="center"/>
          </w:tcPr>
          <w:p w14:paraId="3E770813" w14:textId="77777777" w:rsidR="00FC7575" w:rsidRPr="009C3EF8" w:rsidRDefault="00A5752C" w:rsidP="00603FA9">
            <w:pPr>
              <w:jc w:val="center"/>
              <w:rPr>
                <w:b/>
                <w:bCs w:val="0"/>
                <w:color w:val="FFFFFF" w:themeColor="background1"/>
                <w:sz w:val="24"/>
                <w:szCs w:val="24"/>
              </w:rPr>
            </w:pPr>
            <w:r w:rsidRPr="009C3EF8">
              <w:rPr>
                <w:b/>
                <w:bCs w:val="0"/>
                <w:color w:val="FFFFFF" w:themeColor="background1"/>
                <w:sz w:val="24"/>
                <w:szCs w:val="24"/>
              </w:rPr>
              <w:t>Yes / No / Unknown</w:t>
            </w:r>
          </w:p>
        </w:tc>
        <w:tc>
          <w:tcPr>
            <w:tcW w:w="3552" w:type="dxa"/>
            <w:shd w:val="clear" w:color="auto" w:fill="C62828"/>
            <w:vAlign w:val="center"/>
          </w:tcPr>
          <w:p w14:paraId="777D9472" w14:textId="77777777" w:rsidR="00FC7575" w:rsidRPr="009C3EF8" w:rsidRDefault="00A5752C" w:rsidP="00603FA9">
            <w:pPr>
              <w:jc w:val="center"/>
              <w:rPr>
                <w:b/>
                <w:bCs w:val="0"/>
                <w:color w:val="FFFFFF" w:themeColor="background1"/>
                <w:sz w:val="24"/>
                <w:szCs w:val="24"/>
              </w:rPr>
            </w:pPr>
            <w:r w:rsidRPr="009C3EF8">
              <w:rPr>
                <w:b/>
                <w:bCs w:val="0"/>
                <w:color w:val="FFFFFF" w:themeColor="background1"/>
                <w:sz w:val="24"/>
                <w:szCs w:val="24"/>
              </w:rPr>
              <w:t>Required action if Yes or Unknown</w:t>
            </w:r>
          </w:p>
        </w:tc>
      </w:tr>
      <w:tr w:rsidR="00FC7575" w14:paraId="6A766B2A" w14:textId="77777777" w:rsidTr="0003127D">
        <w:trPr>
          <w:trHeight w:val="1152"/>
          <w:jc w:val="center"/>
        </w:trPr>
        <w:tc>
          <w:tcPr>
            <w:tcW w:w="3552" w:type="dxa"/>
            <w:shd w:val="clear" w:color="auto" w:fill="FDE3E3"/>
            <w:vAlign w:val="center"/>
          </w:tcPr>
          <w:p w14:paraId="5D589363" w14:textId="77777777" w:rsidR="00FC7575" w:rsidRDefault="00A5752C" w:rsidP="00D070F6">
            <w:r>
              <w:t>Client is a foreign or domestic PEP, HIO, family member, or close associate.</w:t>
            </w:r>
          </w:p>
        </w:tc>
        <w:tc>
          <w:tcPr>
            <w:tcW w:w="3552" w:type="dxa"/>
            <w:shd w:val="clear" w:color="auto" w:fill="FDE3E3"/>
            <w:vAlign w:val="center"/>
          </w:tcPr>
          <w:p w14:paraId="2A1B2006" w14:textId="39E9E50C" w:rsidR="00FC7575" w:rsidRPr="0073658C" w:rsidRDefault="000A5B6C" w:rsidP="00D070F6">
            <w:pPr>
              <w:rPr>
                <w:b/>
                <w:bCs w:val="0"/>
              </w:rPr>
            </w:pPr>
            <w:sdt>
              <w:sdtPr>
                <w:rPr>
                  <w:color w:val="2B579A"/>
                  <w:shd w:val="clear" w:color="auto" w:fill="E6E6E6"/>
                </w:rPr>
                <w:id w:val="-148624289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A5752C" w:rsidRPr="0073658C">
              <w:rPr>
                <w:b/>
                <w:bCs w:val="0"/>
              </w:rPr>
              <w:t xml:space="preserve"> Yes   </w:t>
            </w:r>
            <w:sdt>
              <w:sdtPr>
                <w:rPr>
                  <w:color w:val="2B579A"/>
                  <w:shd w:val="clear" w:color="auto" w:fill="E6E6E6"/>
                </w:rPr>
                <w:id w:val="-34918337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A5752C" w:rsidRPr="0073658C">
              <w:rPr>
                <w:b/>
                <w:bCs w:val="0"/>
              </w:rPr>
              <w:t xml:space="preserve"> No   </w:t>
            </w:r>
            <w:sdt>
              <w:sdtPr>
                <w:rPr>
                  <w:color w:val="2B579A"/>
                  <w:shd w:val="clear" w:color="auto" w:fill="E6E6E6"/>
                </w:rPr>
                <w:id w:val="-183413686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A5752C" w:rsidRPr="0073658C">
              <w:rPr>
                <w:b/>
                <w:bCs w:val="0"/>
              </w:rPr>
              <w:t xml:space="preserve"> Unknown</w:t>
            </w:r>
          </w:p>
        </w:tc>
        <w:tc>
          <w:tcPr>
            <w:tcW w:w="3552" w:type="dxa"/>
            <w:shd w:val="clear" w:color="auto" w:fill="FDE3E3"/>
            <w:vAlign w:val="center"/>
          </w:tcPr>
          <w:p w14:paraId="6DA83E99" w14:textId="6992C98C" w:rsidR="00FC7575" w:rsidRDefault="00162C5B" w:rsidP="00D070F6">
            <w:r w:rsidRPr="00162C5B">
              <w:rPr>
                <w:b/>
                <w:bCs w:val="0"/>
              </w:rPr>
              <w:t>HIGH RISK</w:t>
            </w:r>
            <w:r w:rsidR="00A5752C">
              <w:t>; enhanced measures; source of wealth review; enhanced monitoring</w:t>
            </w:r>
            <w:r w:rsidR="00EC7717">
              <w:t xml:space="preserve">: </w:t>
            </w:r>
            <w:r w:rsidR="00EC7717" w:rsidRPr="00162C5B">
              <w:rPr>
                <w:b/>
                <w:bCs w:val="0"/>
              </w:rPr>
              <w:t xml:space="preserve">STOP </w:t>
            </w:r>
            <w:r w:rsidR="00EC7717">
              <w:t>and escalate to Deputy CAMLO immediately</w:t>
            </w:r>
          </w:p>
        </w:tc>
      </w:tr>
      <w:tr w:rsidR="00FC7575" w14:paraId="6EFDF55C" w14:textId="77777777" w:rsidTr="0003127D">
        <w:trPr>
          <w:trHeight w:val="1152"/>
          <w:jc w:val="center"/>
        </w:trPr>
        <w:tc>
          <w:tcPr>
            <w:tcW w:w="3552" w:type="dxa"/>
            <w:shd w:val="clear" w:color="auto" w:fill="FDE3E3"/>
            <w:vAlign w:val="center"/>
          </w:tcPr>
          <w:p w14:paraId="5BFA2690" w14:textId="77777777" w:rsidR="00FC7575" w:rsidRDefault="00A5752C" w:rsidP="00D070F6">
            <w:r>
              <w:t>Client or related party appears on a listed/sanctioned person or entity list, or sanctions concerns are present.</w:t>
            </w:r>
          </w:p>
        </w:tc>
        <w:tc>
          <w:tcPr>
            <w:tcW w:w="3552" w:type="dxa"/>
            <w:shd w:val="clear" w:color="auto" w:fill="FDE3E3"/>
            <w:vAlign w:val="center"/>
          </w:tcPr>
          <w:p w14:paraId="26A64944" w14:textId="7494AC49" w:rsidR="00FC7575" w:rsidRPr="0073658C" w:rsidRDefault="000A5B6C" w:rsidP="00D070F6">
            <w:pPr>
              <w:rPr>
                <w:b/>
                <w:bCs w:val="0"/>
              </w:rPr>
            </w:pPr>
            <w:sdt>
              <w:sdtPr>
                <w:rPr>
                  <w:color w:val="2B579A"/>
                  <w:shd w:val="clear" w:color="auto" w:fill="E6E6E6"/>
                </w:rPr>
                <w:id w:val="-92541520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201707425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83029793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54557F35" w14:textId="3ABC7A5B" w:rsidR="00FC7575" w:rsidRDefault="00162C5B" w:rsidP="00D070F6">
            <w:r w:rsidRPr="00162C5B">
              <w:rPr>
                <w:b/>
                <w:bCs w:val="0"/>
              </w:rPr>
              <w:t xml:space="preserve">STOP </w:t>
            </w:r>
            <w:r w:rsidR="00A5752C">
              <w:t xml:space="preserve">and escalate to </w:t>
            </w:r>
            <w:r w:rsidR="00EC7717">
              <w:t xml:space="preserve">Deputy </w:t>
            </w:r>
            <w:r w:rsidR="00A5752C">
              <w:t>CAMLO immediately; assess LPEPR/STR/SATR obligations.</w:t>
            </w:r>
          </w:p>
        </w:tc>
      </w:tr>
      <w:tr w:rsidR="00FC7575" w14:paraId="68A75CF9" w14:textId="77777777" w:rsidTr="0003127D">
        <w:trPr>
          <w:trHeight w:val="1152"/>
          <w:jc w:val="center"/>
        </w:trPr>
        <w:tc>
          <w:tcPr>
            <w:tcW w:w="3552" w:type="dxa"/>
            <w:shd w:val="clear" w:color="auto" w:fill="FDE3E3"/>
            <w:vAlign w:val="center"/>
          </w:tcPr>
          <w:p w14:paraId="1FBAB3D9" w14:textId="77777777" w:rsidR="00FC7575" w:rsidRDefault="00A5752C" w:rsidP="00D070F6">
            <w:r>
              <w:t>STR/SATR has been filed, or suspicious activity indicators are present.</w:t>
            </w:r>
          </w:p>
        </w:tc>
        <w:tc>
          <w:tcPr>
            <w:tcW w:w="3552" w:type="dxa"/>
            <w:shd w:val="clear" w:color="auto" w:fill="FDE3E3"/>
            <w:vAlign w:val="center"/>
          </w:tcPr>
          <w:p w14:paraId="58925530" w14:textId="1BA14752" w:rsidR="00FC7575" w:rsidRPr="0073658C" w:rsidRDefault="000A5B6C" w:rsidP="00D070F6">
            <w:pPr>
              <w:rPr>
                <w:b/>
                <w:bCs w:val="0"/>
              </w:rPr>
            </w:pPr>
            <w:sdt>
              <w:sdtPr>
                <w:rPr>
                  <w:color w:val="2B579A"/>
                  <w:shd w:val="clear" w:color="auto" w:fill="E6E6E6"/>
                </w:rPr>
                <w:id w:val="10245160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44033311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48199792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00DAE59D" w14:textId="3703D4D7" w:rsidR="00FC7575" w:rsidRDefault="00162C5B" w:rsidP="00D070F6">
            <w:r w:rsidRPr="00162C5B">
              <w:rPr>
                <w:b/>
                <w:bCs w:val="0"/>
              </w:rPr>
              <w:t>HIGH RISK</w:t>
            </w:r>
            <w:r w:rsidR="00A5752C">
              <w:t xml:space="preserve">; </w:t>
            </w:r>
            <w:r w:rsidR="00EC7717" w:rsidRPr="00EC7717">
              <w:rPr>
                <w:b/>
                <w:bCs w:val="0"/>
              </w:rPr>
              <w:t>STOP</w:t>
            </w:r>
            <w:r w:rsidR="00EC7717">
              <w:t xml:space="preserve"> and escalate to Deputy </w:t>
            </w:r>
            <w:r w:rsidR="00A5752C">
              <w:t>CAMLO review; document rationale; assess reporting obligations.</w:t>
            </w:r>
          </w:p>
        </w:tc>
      </w:tr>
      <w:tr w:rsidR="00FC7575" w14:paraId="4956DD55" w14:textId="77777777" w:rsidTr="0003127D">
        <w:trPr>
          <w:trHeight w:val="1152"/>
          <w:jc w:val="center"/>
        </w:trPr>
        <w:tc>
          <w:tcPr>
            <w:tcW w:w="3552" w:type="dxa"/>
            <w:shd w:val="clear" w:color="auto" w:fill="FDE3E3"/>
            <w:vAlign w:val="center"/>
          </w:tcPr>
          <w:p w14:paraId="77A6AB59" w14:textId="77777777" w:rsidR="00FC7575" w:rsidRDefault="00A5752C" w:rsidP="00D070F6">
            <w:r>
              <w:t>Client refuses or fails to provide beneficial ownership, ID, source of funds/wealth, or purpose information.</w:t>
            </w:r>
          </w:p>
        </w:tc>
        <w:tc>
          <w:tcPr>
            <w:tcW w:w="3552" w:type="dxa"/>
            <w:shd w:val="clear" w:color="auto" w:fill="FDE3E3"/>
            <w:vAlign w:val="center"/>
          </w:tcPr>
          <w:p w14:paraId="50087A67" w14:textId="65A292DF" w:rsidR="00FC7575" w:rsidRPr="0073658C" w:rsidRDefault="000A5B6C" w:rsidP="00D070F6">
            <w:pPr>
              <w:rPr>
                <w:b/>
                <w:bCs w:val="0"/>
              </w:rPr>
            </w:pPr>
            <w:sdt>
              <w:sdtPr>
                <w:rPr>
                  <w:color w:val="2B579A"/>
                  <w:shd w:val="clear" w:color="auto" w:fill="E6E6E6"/>
                </w:rPr>
                <w:id w:val="-63671780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211982168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3870348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704CB208" w14:textId="7058B5FF" w:rsidR="00FC7575" w:rsidRDefault="00162C5B" w:rsidP="00D070F6">
            <w:r w:rsidRPr="00162C5B">
              <w:rPr>
                <w:b/>
                <w:bCs w:val="0"/>
              </w:rPr>
              <w:t>HIGH RISK</w:t>
            </w:r>
            <w:r w:rsidR="00A5752C">
              <w:t>; do not proceed without escalation</w:t>
            </w:r>
            <w:r w:rsidR="00EC7717">
              <w:t xml:space="preserve"> to Deputy CAMLO.</w:t>
            </w:r>
          </w:p>
        </w:tc>
      </w:tr>
      <w:tr w:rsidR="00FC7575" w14:paraId="5F303D11" w14:textId="77777777" w:rsidTr="0003127D">
        <w:trPr>
          <w:trHeight w:val="1152"/>
          <w:jc w:val="center"/>
        </w:trPr>
        <w:tc>
          <w:tcPr>
            <w:tcW w:w="3552" w:type="dxa"/>
            <w:shd w:val="clear" w:color="auto" w:fill="FDE3E3"/>
            <w:vAlign w:val="center"/>
          </w:tcPr>
          <w:p w14:paraId="2475EC9C" w14:textId="77777777" w:rsidR="00FC7575" w:rsidRDefault="00A5752C" w:rsidP="00D070F6">
            <w:r>
              <w:t>Client asks CSS to receive, pay, transfer, or direct funds/securities, including trust account activity.</w:t>
            </w:r>
          </w:p>
        </w:tc>
        <w:tc>
          <w:tcPr>
            <w:tcW w:w="3552" w:type="dxa"/>
            <w:shd w:val="clear" w:color="auto" w:fill="FDE3E3"/>
            <w:vAlign w:val="center"/>
          </w:tcPr>
          <w:p w14:paraId="5B02D145" w14:textId="649856FC" w:rsidR="00FC7575" w:rsidRPr="0073658C" w:rsidRDefault="000A5B6C" w:rsidP="00D070F6">
            <w:pPr>
              <w:rPr>
                <w:b/>
                <w:bCs w:val="0"/>
              </w:rPr>
            </w:pPr>
            <w:sdt>
              <w:sdtPr>
                <w:rPr>
                  <w:color w:val="2B579A"/>
                  <w:shd w:val="clear" w:color="auto" w:fill="E6E6E6"/>
                </w:rPr>
                <w:id w:val="93094072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55481129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71395120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1623318A" w14:textId="10D73B2C" w:rsidR="00FC7575" w:rsidRDefault="00162C5B" w:rsidP="00D070F6">
            <w:r w:rsidRPr="00162C5B">
              <w:rPr>
                <w:b/>
                <w:bCs w:val="0"/>
              </w:rPr>
              <w:t>HIGH RISK</w:t>
            </w:r>
            <w:r w:rsidR="00A5752C">
              <w:t>; complete CDD/EDD and transaction controls before proceeding.</w:t>
            </w:r>
            <w:r w:rsidR="00EC7717">
              <w:t xml:space="preserve"> Report to Deputy CAMLO.</w:t>
            </w:r>
          </w:p>
        </w:tc>
      </w:tr>
      <w:tr w:rsidR="00FC7575" w14:paraId="7A2D7E45" w14:textId="77777777" w:rsidTr="0003127D">
        <w:trPr>
          <w:trHeight w:val="1152"/>
          <w:jc w:val="center"/>
        </w:trPr>
        <w:tc>
          <w:tcPr>
            <w:tcW w:w="3552" w:type="dxa"/>
            <w:shd w:val="clear" w:color="auto" w:fill="FDE3E3"/>
            <w:vAlign w:val="center"/>
          </w:tcPr>
          <w:p w14:paraId="58A3AF62" w14:textId="1515EF5C" w:rsidR="00FC7575" w:rsidRDefault="00172845" w:rsidP="00D070F6">
            <w:r w:rsidRPr="00172845">
              <w:t>Client is a US-resident or non-resident client with foreign-source funds/assets</w:t>
            </w:r>
            <w:r>
              <w:t>/ownership concerns.</w:t>
            </w:r>
          </w:p>
        </w:tc>
        <w:tc>
          <w:tcPr>
            <w:tcW w:w="3552" w:type="dxa"/>
            <w:shd w:val="clear" w:color="auto" w:fill="FDE3E3"/>
            <w:vAlign w:val="center"/>
          </w:tcPr>
          <w:p w14:paraId="1A8C2642" w14:textId="062C0A06" w:rsidR="00FC7575" w:rsidRPr="0073658C" w:rsidRDefault="000A5B6C" w:rsidP="00D070F6">
            <w:pPr>
              <w:rPr>
                <w:b/>
                <w:bCs w:val="0"/>
              </w:rPr>
            </w:pPr>
            <w:sdt>
              <w:sdtPr>
                <w:rPr>
                  <w:color w:val="2B579A"/>
                  <w:shd w:val="clear" w:color="auto" w:fill="E6E6E6"/>
                </w:rPr>
                <w:id w:val="105974708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6567305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65455845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0DA47BC9" w14:textId="332B057E" w:rsidR="00FC7575" w:rsidRDefault="00162C5B" w:rsidP="00D070F6">
            <w:r w:rsidRPr="00162C5B">
              <w:rPr>
                <w:b/>
                <w:bCs w:val="0"/>
              </w:rPr>
              <w:t>HIGH RISK</w:t>
            </w:r>
            <w:r w:rsidR="00A5752C">
              <w:t>; confirm source of funds/wealth where applicable.</w:t>
            </w:r>
            <w:r w:rsidR="00EC7717">
              <w:t xml:space="preserve"> Report to Deputy CAMLO.</w:t>
            </w:r>
          </w:p>
        </w:tc>
      </w:tr>
      <w:tr w:rsidR="00FC7575" w14:paraId="57375D8E" w14:textId="77777777" w:rsidTr="0003127D">
        <w:trPr>
          <w:trHeight w:val="1152"/>
          <w:jc w:val="center"/>
        </w:trPr>
        <w:tc>
          <w:tcPr>
            <w:tcW w:w="3552" w:type="dxa"/>
            <w:shd w:val="clear" w:color="auto" w:fill="FDE3E3"/>
            <w:vAlign w:val="center"/>
          </w:tcPr>
          <w:p w14:paraId="3E521C5F" w14:textId="77777777" w:rsidR="00FC7575" w:rsidRDefault="00A5752C" w:rsidP="00D070F6">
            <w:r>
              <w:t>Ownership is opaque, layered, nominee-based, offshore, or unusually complex.</w:t>
            </w:r>
          </w:p>
        </w:tc>
        <w:tc>
          <w:tcPr>
            <w:tcW w:w="3552" w:type="dxa"/>
            <w:shd w:val="clear" w:color="auto" w:fill="FDE3E3"/>
            <w:vAlign w:val="center"/>
          </w:tcPr>
          <w:p w14:paraId="6F17335D" w14:textId="22AB0C64" w:rsidR="00FC7575" w:rsidRPr="0073658C" w:rsidRDefault="000A5B6C" w:rsidP="00D070F6">
            <w:pPr>
              <w:rPr>
                <w:b/>
                <w:bCs w:val="0"/>
              </w:rPr>
            </w:pPr>
            <w:sdt>
              <w:sdtPr>
                <w:rPr>
                  <w:color w:val="2B579A"/>
                  <w:shd w:val="clear" w:color="auto" w:fill="E6E6E6"/>
                </w:rPr>
                <w:id w:val="-196633898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91920704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8864915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681A623B" w14:textId="5604D349" w:rsidR="00FC7575" w:rsidRDefault="00162C5B" w:rsidP="00D070F6">
            <w:r w:rsidRPr="00162C5B">
              <w:rPr>
                <w:b/>
                <w:bCs w:val="0"/>
              </w:rPr>
              <w:t>HIGH RISK</w:t>
            </w:r>
            <w:r w:rsidR="00A5752C">
              <w:t>; expanded beneficial ownership review.</w:t>
            </w:r>
            <w:r w:rsidR="00EC7717">
              <w:t xml:space="preserve"> Report to Deputy CAMLO.</w:t>
            </w:r>
          </w:p>
        </w:tc>
      </w:tr>
      <w:tr w:rsidR="00FC7575" w14:paraId="00CF49E3" w14:textId="77777777" w:rsidTr="0003127D">
        <w:trPr>
          <w:trHeight w:val="1152"/>
          <w:jc w:val="center"/>
        </w:trPr>
        <w:tc>
          <w:tcPr>
            <w:tcW w:w="3552" w:type="dxa"/>
            <w:shd w:val="clear" w:color="auto" w:fill="FDE3E3"/>
            <w:vAlign w:val="center"/>
          </w:tcPr>
          <w:p w14:paraId="020CEE8D" w14:textId="77777777" w:rsidR="00FC7575" w:rsidRDefault="00A5752C" w:rsidP="00D070F6">
            <w:r>
              <w:lastRenderedPageBreak/>
              <w:t>Complex trusts, holding companies, reorganizations, or structures appear designed to obscure ownership or source of funds.</w:t>
            </w:r>
          </w:p>
        </w:tc>
        <w:tc>
          <w:tcPr>
            <w:tcW w:w="3552" w:type="dxa"/>
            <w:shd w:val="clear" w:color="auto" w:fill="FDE3E3"/>
            <w:vAlign w:val="center"/>
          </w:tcPr>
          <w:p w14:paraId="45284228" w14:textId="6062D13B" w:rsidR="00FC7575" w:rsidRPr="0073658C" w:rsidRDefault="000A5B6C" w:rsidP="00D070F6">
            <w:pPr>
              <w:rPr>
                <w:b/>
                <w:bCs w:val="0"/>
              </w:rPr>
            </w:pPr>
            <w:sdt>
              <w:sdtPr>
                <w:rPr>
                  <w:color w:val="2B579A"/>
                  <w:shd w:val="clear" w:color="auto" w:fill="E6E6E6"/>
                </w:rPr>
                <w:id w:val="26466157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9101884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0080738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347ED572" w14:textId="1A36BF22" w:rsidR="00FC7575" w:rsidRDefault="00162C5B" w:rsidP="00D070F6">
            <w:r w:rsidRPr="00162C5B">
              <w:rPr>
                <w:b/>
                <w:bCs w:val="0"/>
              </w:rPr>
              <w:t>HIGH RISK</w:t>
            </w:r>
            <w:r w:rsidR="00A5752C">
              <w:t>; expanded review and partner/CAMLO consideration.</w:t>
            </w:r>
          </w:p>
        </w:tc>
      </w:tr>
      <w:tr w:rsidR="00FC7575" w14:paraId="41D0B48C" w14:textId="77777777" w:rsidTr="0003127D">
        <w:trPr>
          <w:trHeight w:val="1152"/>
          <w:jc w:val="center"/>
        </w:trPr>
        <w:tc>
          <w:tcPr>
            <w:tcW w:w="3552" w:type="dxa"/>
            <w:shd w:val="clear" w:color="auto" w:fill="FDE3E3"/>
            <w:vAlign w:val="center"/>
          </w:tcPr>
          <w:p w14:paraId="2B524A48" w14:textId="77777777" w:rsidR="00FC7575" w:rsidRDefault="00A5752C" w:rsidP="00D070F6">
            <w:r>
              <w:t>Client activity is inconsistent with known business, occupation, assets, or expected activity.</w:t>
            </w:r>
          </w:p>
        </w:tc>
        <w:tc>
          <w:tcPr>
            <w:tcW w:w="3552" w:type="dxa"/>
            <w:shd w:val="clear" w:color="auto" w:fill="FDE3E3"/>
            <w:vAlign w:val="center"/>
          </w:tcPr>
          <w:p w14:paraId="0EF86435" w14:textId="7355F61B" w:rsidR="00FC7575" w:rsidRPr="0073658C" w:rsidRDefault="000A5B6C" w:rsidP="00D070F6">
            <w:pPr>
              <w:rPr>
                <w:b/>
                <w:bCs w:val="0"/>
              </w:rPr>
            </w:pPr>
            <w:sdt>
              <w:sdtPr>
                <w:rPr>
                  <w:color w:val="2B579A"/>
                  <w:shd w:val="clear" w:color="auto" w:fill="E6E6E6"/>
                </w:rPr>
                <w:id w:val="214045251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8264489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86420450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6A28FF22" w14:textId="002F14E7" w:rsidR="00FC7575" w:rsidRDefault="00162C5B" w:rsidP="00D070F6">
            <w:r w:rsidRPr="00162C5B">
              <w:rPr>
                <w:b/>
                <w:bCs w:val="0"/>
              </w:rPr>
              <w:t>HIGH RISK</w:t>
            </w:r>
            <w:r w:rsidR="00A5752C">
              <w:t>; enhanced monitoring and documented inquiry.</w:t>
            </w:r>
            <w:r w:rsidR="00EC7717">
              <w:t xml:space="preserve"> Report to Deputy CAMLO.</w:t>
            </w:r>
          </w:p>
        </w:tc>
      </w:tr>
      <w:tr w:rsidR="00FC7575" w14:paraId="32919E66" w14:textId="77777777" w:rsidTr="0003127D">
        <w:trPr>
          <w:trHeight w:val="1152"/>
          <w:jc w:val="center"/>
        </w:trPr>
        <w:tc>
          <w:tcPr>
            <w:tcW w:w="3552" w:type="dxa"/>
            <w:shd w:val="clear" w:color="auto" w:fill="FDE3E3"/>
            <w:vAlign w:val="center"/>
          </w:tcPr>
          <w:p w14:paraId="7EAB444F" w14:textId="77777777" w:rsidR="00FC7575" w:rsidRDefault="00A5752C" w:rsidP="00D070F6">
            <w:r>
              <w:t>Client appears to be acting on behalf of an undisclosed third party.</w:t>
            </w:r>
          </w:p>
        </w:tc>
        <w:tc>
          <w:tcPr>
            <w:tcW w:w="3552" w:type="dxa"/>
            <w:shd w:val="clear" w:color="auto" w:fill="FDE3E3"/>
            <w:vAlign w:val="center"/>
          </w:tcPr>
          <w:p w14:paraId="0B6888A8" w14:textId="7140E718" w:rsidR="00FC7575" w:rsidRPr="0073658C" w:rsidRDefault="000A5B6C" w:rsidP="00D070F6">
            <w:pPr>
              <w:rPr>
                <w:b/>
                <w:bCs w:val="0"/>
              </w:rPr>
            </w:pPr>
            <w:sdt>
              <w:sdtPr>
                <w:rPr>
                  <w:color w:val="2B579A"/>
                  <w:shd w:val="clear" w:color="auto" w:fill="E6E6E6"/>
                </w:rPr>
                <w:id w:val="10077336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76854565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209195918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c>
          <w:tcPr>
            <w:tcW w:w="3552" w:type="dxa"/>
            <w:shd w:val="clear" w:color="auto" w:fill="FDE3E3"/>
            <w:vAlign w:val="center"/>
          </w:tcPr>
          <w:p w14:paraId="444F558B" w14:textId="51E24E53" w:rsidR="00FC7575" w:rsidRDefault="00162C5B" w:rsidP="00D070F6">
            <w:r w:rsidRPr="00162C5B">
              <w:rPr>
                <w:b/>
                <w:bCs w:val="0"/>
              </w:rPr>
              <w:t>HIGH RISK</w:t>
            </w:r>
            <w:r w:rsidR="00A5752C">
              <w:t>; third-party determination and escalation.</w:t>
            </w:r>
            <w:r w:rsidR="00EC7717">
              <w:t xml:space="preserve"> Report to Deputy CAMLO.</w:t>
            </w:r>
          </w:p>
        </w:tc>
      </w:tr>
    </w:tbl>
    <w:p w14:paraId="2D4E5192" w14:textId="77777777" w:rsidR="00475D04" w:rsidRDefault="00475D04" w:rsidP="00475D04">
      <w:pPr>
        <w:pStyle w:val="Heading2"/>
        <w:ind w:left="720"/>
      </w:pPr>
    </w:p>
    <w:p w14:paraId="17766DEC" w14:textId="4F9BF68D" w:rsidR="00FC7575" w:rsidRDefault="00B1345D" w:rsidP="00EA3E7E">
      <w:pPr>
        <w:pStyle w:val="Heading2"/>
        <w:numPr>
          <w:ilvl w:val="0"/>
          <w:numId w:val="14"/>
        </w:numPr>
      </w:pPr>
      <w:r>
        <w:t>On-Boarding Client Risk</w:t>
      </w:r>
      <w:r w:rsidR="00A5752C">
        <w:t xml:space="preserve"> Questionnaire </w:t>
      </w:r>
    </w:p>
    <w:tbl>
      <w:tblPr>
        <w:tblW w:w="0" w:type="auto"/>
        <w:jc w:val="center"/>
        <w:tblLook w:val="04A0" w:firstRow="1" w:lastRow="0" w:firstColumn="1" w:lastColumn="0" w:noHBand="0" w:noVBand="1"/>
      </w:tblPr>
      <w:tblGrid>
        <w:gridCol w:w="10656"/>
      </w:tblGrid>
      <w:tr w:rsidR="00FC7575" w14:paraId="0378C6B2" w14:textId="77777777" w:rsidTr="0065697D">
        <w:trPr>
          <w:trHeight w:val="864"/>
          <w:jc w:val="center"/>
        </w:trPr>
        <w:tc>
          <w:tcPr>
            <w:tcW w:w="10656" w:type="dxa"/>
            <w:shd w:val="clear" w:color="auto" w:fill="EEF4FF"/>
            <w:vAlign w:val="center"/>
          </w:tcPr>
          <w:p w14:paraId="1AB23A88" w14:textId="4288DBCD" w:rsidR="00AA744A" w:rsidRPr="00AA744A" w:rsidRDefault="00AA744A" w:rsidP="00AA744A">
            <w:r w:rsidRPr="00AA744A">
              <w:rPr>
                <w:b/>
                <w:bCs w:val="0"/>
              </w:rPr>
              <w:t>HOW TO COMPLETE THE RISK ASSESSMENT</w:t>
            </w:r>
          </w:p>
          <w:p w14:paraId="558E0708" w14:textId="3877612F" w:rsidR="00E84930" w:rsidRPr="00E84930" w:rsidRDefault="00E84930" w:rsidP="00E84930">
            <w:pPr>
              <w:rPr>
                <w:lang w:val="en-CA" w:eastAsia="en-CA"/>
              </w:rPr>
            </w:pPr>
            <w:r w:rsidRPr="00E84930">
              <w:rPr>
                <w:lang w:val="en-CA" w:eastAsia="en-CA"/>
              </w:rPr>
              <w:t>This section is used to assess the overall money laundering (ML) and terrorist financing (TF) risk associated with the client relationship and services being provided.</w:t>
            </w:r>
            <w:r w:rsidR="0065697D">
              <w:rPr>
                <w:lang w:val="en-CA" w:eastAsia="en-CA"/>
              </w:rPr>
              <w:t xml:space="preserve"> </w:t>
            </w:r>
            <w:r w:rsidRPr="00E84930">
              <w:rPr>
                <w:lang w:val="en-CA" w:eastAsia="en-CA"/>
              </w:rPr>
              <w:t xml:space="preserve">Complete all applicable questions using </w:t>
            </w:r>
            <w:r w:rsidRPr="00E84930">
              <w:rPr>
                <w:b/>
                <w:lang w:val="en-CA" w:eastAsia="en-CA"/>
              </w:rPr>
              <w:t>Yes, No, or Unknown</w:t>
            </w:r>
            <w:r w:rsidRPr="00E84930">
              <w:rPr>
                <w:lang w:val="en-CA" w:eastAsia="en-CA"/>
              </w:rPr>
              <w:t>.</w:t>
            </w:r>
          </w:p>
          <w:p w14:paraId="44B09712" w14:textId="77777777" w:rsidR="00E84930" w:rsidRPr="00E84930" w:rsidRDefault="00E84930" w:rsidP="00E84930">
            <w:pPr>
              <w:rPr>
                <w:lang w:val="en-CA" w:eastAsia="en-CA"/>
              </w:rPr>
            </w:pPr>
            <w:r w:rsidRPr="00E84930">
              <w:rPr>
                <w:b/>
                <w:lang w:val="en-CA" w:eastAsia="en-CA"/>
              </w:rPr>
              <w:t>Important:</w:t>
            </w:r>
          </w:p>
          <w:p w14:paraId="61AAA2C4" w14:textId="6425490A" w:rsidR="00E84930" w:rsidRDefault="00E84930" w:rsidP="00E84930">
            <w:pPr>
              <w:pStyle w:val="ListParagraph"/>
              <w:numPr>
                <w:ilvl w:val="0"/>
                <w:numId w:val="30"/>
              </w:numPr>
              <w:rPr>
                <w:lang w:val="en-CA" w:eastAsia="en-CA"/>
              </w:rPr>
            </w:pPr>
            <w:r w:rsidRPr="00E84930">
              <w:rPr>
                <w:lang w:val="en-CA" w:eastAsia="en-CA"/>
              </w:rPr>
              <w:t xml:space="preserve">If any question in </w:t>
            </w:r>
            <w:r w:rsidRPr="00E84930">
              <w:rPr>
                <w:b/>
                <w:lang w:val="en-CA" w:eastAsia="en-CA"/>
              </w:rPr>
              <w:t>Section B – Auto-High Risk Override Questions</w:t>
            </w:r>
            <w:r w:rsidRPr="00E84930">
              <w:rPr>
                <w:lang w:val="en-CA" w:eastAsia="en-CA"/>
              </w:rPr>
              <w:t xml:space="preserve"> is answered </w:t>
            </w:r>
            <w:r w:rsidRPr="00E84930">
              <w:rPr>
                <w:b/>
                <w:lang w:val="en-CA" w:eastAsia="en-CA"/>
              </w:rPr>
              <w:t>Yes</w:t>
            </w:r>
            <w:r w:rsidRPr="00E84930">
              <w:rPr>
                <w:lang w:val="en-CA" w:eastAsia="en-CA"/>
              </w:rPr>
              <w:t xml:space="preserve">, the client must be classified as </w:t>
            </w:r>
            <w:r w:rsidRPr="00E84930">
              <w:rPr>
                <w:b/>
                <w:lang w:val="en-CA" w:eastAsia="en-CA"/>
              </w:rPr>
              <w:t>High Risk</w:t>
            </w:r>
            <w:r w:rsidRPr="00E84930">
              <w:rPr>
                <w:lang w:val="en-CA" w:eastAsia="en-CA"/>
              </w:rPr>
              <w:t xml:space="preserve"> and the matter must be escalated </w:t>
            </w:r>
            <w:r>
              <w:rPr>
                <w:lang w:val="en-CA" w:eastAsia="en-CA"/>
              </w:rPr>
              <w:t>to the Deputy CAMLO.</w:t>
            </w:r>
            <w:r w:rsidR="00475D04">
              <w:rPr>
                <w:lang w:val="en-CA" w:eastAsia="en-CA"/>
              </w:rPr>
              <w:t xml:space="preserve"> Complete Section C regardless.</w:t>
            </w:r>
          </w:p>
          <w:p w14:paraId="368AFBD3" w14:textId="0EA4C1C7" w:rsidR="00E84930" w:rsidRPr="00E84930" w:rsidRDefault="00E84930" w:rsidP="00E84930">
            <w:pPr>
              <w:pStyle w:val="ListParagraph"/>
              <w:numPr>
                <w:ilvl w:val="0"/>
                <w:numId w:val="30"/>
              </w:numPr>
              <w:rPr>
                <w:lang w:val="en-CA" w:eastAsia="en-CA"/>
              </w:rPr>
            </w:pPr>
            <w:r w:rsidRPr="00E84930">
              <w:rPr>
                <w:lang w:val="en-CA" w:eastAsia="en-CA"/>
              </w:rPr>
              <w:t xml:space="preserve">Complete all applicable indicators in this section even where a High-Risk Override has been identified. </w:t>
            </w:r>
          </w:p>
          <w:p w14:paraId="0B241746" w14:textId="5B347283" w:rsidR="00E84930" w:rsidRPr="009559D5" w:rsidRDefault="00E84930" w:rsidP="00E84930">
            <w:pPr>
              <w:pStyle w:val="ListParagraph"/>
              <w:numPr>
                <w:ilvl w:val="0"/>
                <w:numId w:val="30"/>
              </w:numPr>
              <w:rPr>
                <w:color w:val="C00000"/>
                <w:lang w:val="en-CA" w:eastAsia="en-CA"/>
              </w:rPr>
            </w:pPr>
            <w:r w:rsidRPr="009559D5">
              <w:rPr>
                <w:i/>
                <w:iCs/>
                <w:color w:val="C00000"/>
                <w:lang w:val="en-CA" w:eastAsia="en-CA"/>
              </w:rPr>
              <w:t xml:space="preserve">Responses marked </w:t>
            </w:r>
            <w:r w:rsidRPr="009559D5">
              <w:rPr>
                <w:b/>
                <w:color w:val="000000" w:themeColor="text1"/>
                <w:lang w:val="en-CA" w:eastAsia="en-CA"/>
              </w:rPr>
              <w:t>Unknown</w:t>
            </w:r>
            <w:r w:rsidRPr="009559D5">
              <w:rPr>
                <w:color w:val="C00000"/>
                <w:lang w:val="en-CA" w:eastAsia="en-CA"/>
              </w:rPr>
              <w:t xml:space="preserve"> </w:t>
            </w:r>
            <w:r w:rsidRPr="009559D5">
              <w:rPr>
                <w:i/>
                <w:iCs/>
                <w:color w:val="C00000"/>
                <w:lang w:val="en-CA" w:eastAsia="en-CA"/>
              </w:rPr>
              <w:t xml:space="preserve">must be supported by documented rationale (Section D) and follow-up actions where information is unavailable, cannot be verified, is inconsistent, or raises concern, the matter should be escalated to the Deputy CAMLO for review. </w:t>
            </w:r>
          </w:p>
          <w:p w14:paraId="4546784F" w14:textId="77777777" w:rsidR="00E84930" w:rsidRPr="00E84930" w:rsidRDefault="00E84930" w:rsidP="00E84930">
            <w:pPr>
              <w:pStyle w:val="ListParagraph"/>
              <w:numPr>
                <w:ilvl w:val="0"/>
                <w:numId w:val="30"/>
              </w:numPr>
              <w:rPr>
                <w:lang w:val="en-CA" w:eastAsia="en-CA"/>
              </w:rPr>
            </w:pPr>
            <w:r w:rsidRPr="00E84930">
              <w:rPr>
                <w:lang w:val="en-CA" w:eastAsia="en-CA"/>
              </w:rPr>
              <w:t xml:space="preserve">Professional judgment must be applied when determining the final risk classification. </w:t>
            </w:r>
          </w:p>
          <w:p w14:paraId="12DD4883" w14:textId="3B97B2A2" w:rsidR="00E84930" w:rsidRPr="00E84930" w:rsidRDefault="00E84930" w:rsidP="00E84930">
            <w:pPr>
              <w:pStyle w:val="ListParagraph"/>
              <w:numPr>
                <w:ilvl w:val="0"/>
                <w:numId w:val="30"/>
              </w:numPr>
              <w:rPr>
                <w:lang w:val="en-CA" w:eastAsia="en-CA"/>
              </w:rPr>
            </w:pPr>
            <w:r w:rsidRPr="00E84930">
              <w:rPr>
                <w:lang w:val="en-CA" w:eastAsia="en-CA"/>
              </w:rPr>
              <w:t xml:space="preserve">Document any factors that support the final risk classification in Section D. </w:t>
            </w:r>
          </w:p>
          <w:p w14:paraId="4E337CC4" w14:textId="77777777" w:rsidR="00E84930" w:rsidRPr="00E84930" w:rsidRDefault="00E84930" w:rsidP="00E84930">
            <w:pPr>
              <w:rPr>
                <w:lang w:val="en-CA" w:eastAsia="en-CA"/>
              </w:rPr>
            </w:pPr>
            <w:r w:rsidRPr="00E84930">
              <w:rPr>
                <w:b/>
                <w:lang w:val="en-CA" w:eastAsia="en-CA"/>
              </w:rPr>
              <w:t>Risk Classification Guide</w:t>
            </w:r>
          </w:p>
          <w:p w14:paraId="2846475E" w14:textId="77777777" w:rsidR="00E84930" w:rsidRPr="00E84930" w:rsidRDefault="00E84930" w:rsidP="00E84930">
            <w:pPr>
              <w:pStyle w:val="ListParagraph"/>
              <w:numPr>
                <w:ilvl w:val="0"/>
                <w:numId w:val="31"/>
              </w:numPr>
              <w:rPr>
                <w:lang w:val="en-CA" w:eastAsia="en-CA"/>
              </w:rPr>
            </w:pPr>
            <w:r w:rsidRPr="00E84930">
              <w:rPr>
                <w:b/>
                <w:lang w:val="en-CA" w:eastAsia="en-CA"/>
              </w:rPr>
              <w:t>N/A &amp; Advisory</w:t>
            </w:r>
            <w:r w:rsidRPr="00E84930">
              <w:rPr>
                <w:lang w:val="en-CA" w:eastAsia="en-CA"/>
              </w:rPr>
              <w:t xml:space="preserve"> – Engagement is advisory in nature only and meets all requirements in Section C1. </w:t>
            </w:r>
          </w:p>
          <w:p w14:paraId="2B2CA4A9" w14:textId="60C265C3" w:rsidR="00E84930" w:rsidRPr="00E84930" w:rsidRDefault="00E84930" w:rsidP="00E84930">
            <w:pPr>
              <w:pStyle w:val="ListParagraph"/>
              <w:numPr>
                <w:ilvl w:val="0"/>
                <w:numId w:val="31"/>
              </w:numPr>
              <w:rPr>
                <w:lang w:val="en-CA" w:eastAsia="en-CA"/>
              </w:rPr>
            </w:pPr>
            <w:r w:rsidRPr="00E84930">
              <w:rPr>
                <w:b/>
                <w:lang w:val="en-CA" w:eastAsia="en-CA"/>
              </w:rPr>
              <w:t>Low Risk</w:t>
            </w:r>
            <w:r w:rsidRPr="00E84930">
              <w:rPr>
                <w:lang w:val="en-CA" w:eastAsia="en-CA"/>
              </w:rPr>
              <w:t xml:space="preserve"> – No High-Risk Override</w:t>
            </w:r>
            <w:r>
              <w:rPr>
                <w:lang w:val="en-CA" w:eastAsia="en-CA"/>
              </w:rPr>
              <w:t>s</w:t>
            </w:r>
            <w:r w:rsidRPr="00E84930">
              <w:rPr>
                <w:lang w:val="en-CA" w:eastAsia="en-CA"/>
              </w:rPr>
              <w:t xml:space="preserve"> appl</w:t>
            </w:r>
            <w:r>
              <w:rPr>
                <w:lang w:val="en-CA" w:eastAsia="en-CA"/>
              </w:rPr>
              <w:t>y</w:t>
            </w:r>
            <w:r w:rsidRPr="00E84930">
              <w:rPr>
                <w:lang w:val="en-CA" w:eastAsia="en-CA"/>
              </w:rPr>
              <w:t xml:space="preserve"> and no Medium-Risk indicators are present. </w:t>
            </w:r>
          </w:p>
          <w:p w14:paraId="6AB5B41E" w14:textId="77777777" w:rsidR="00E84930" w:rsidRPr="00E84930" w:rsidRDefault="00E84930" w:rsidP="00E84930">
            <w:pPr>
              <w:pStyle w:val="ListParagraph"/>
              <w:numPr>
                <w:ilvl w:val="0"/>
                <w:numId w:val="31"/>
              </w:numPr>
              <w:rPr>
                <w:lang w:val="en-CA" w:eastAsia="en-CA"/>
              </w:rPr>
            </w:pPr>
            <w:r w:rsidRPr="00E84930">
              <w:rPr>
                <w:b/>
                <w:lang w:val="en-CA" w:eastAsia="en-CA"/>
              </w:rPr>
              <w:t>Medium Risk</w:t>
            </w:r>
            <w:r w:rsidRPr="00E84930">
              <w:rPr>
                <w:lang w:val="en-CA" w:eastAsia="en-CA"/>
              </w:rPr>
              <w:t xml:space="preserve"> – One or more Medium-Risk indicators are present and no High-Risk Override applies. </w:t>
            </w:r>
          </w:p>
          <w:p w14:paraId="2E1F57D1" w14:textId="3CF392BA" w:rsidR="00AA744A" w:rsidRDefault="00E84930" w:rsidP="0065697D">
            <w:pPr>
              <w:pStyle w:val="ListParagraph"/>
              <w:numPr>
                <w:ilvl w:val="0"/>
                <w:numId w:val="31"/>
              </w:numPr>
            </w:pPr>
            <w:r w:rsidRPr="00E84930">
              <w:rPr>
                <w:b/>
                <w:lang w:val="en-CA" w:eastAsia="en-CA"/>
              </w:rPr>
              <w:t>High Risk</w:t>
            </w:r>
            <w:r w:rsidRPr="00E84930">
              <w:rPr>
                <w:lang w:val="en-CA" w:eastAsia="en-CA"/>
              </w:rPr>
              <w:t xml:space="preserve"> – Any High-Risk Override question in Section B is answered Yes, or professional judgment determines that enhanced due diligence is required.</w:t>
            </w:r>
          </w:p>
        </w:tc>
      </w:tr>
    </w:tbl>
    <w:p w14:paraId="4B6B3F01" w14:textId="77777777" w:rsidR="00FC7575" w:rsidRDefault="00FC7575" w:rsidP="00935C44"/>
    <w:p w14:paraId="6C5CE6DF" w14:textId="68F3C4CA" w:rsidR="00FC7575" w:rsidRDefault="00E17197" w:rsidP="00005777">
      <w:pPr>
        <w:pStyle w:val="Heading3"/>
      </w:pPr>
      <w:r>
        <w:t>C</w:t>
      </w:r>
      <w:r w:rsidR="00A5752C" w:rsidRPr="00005777">
        <w:t xml:space="preserve">1. </w:t>
      </w:r>
      <w:r w:rsidR="000208EE">
        <w:t>Minimal Risk</w:t>
      </w:r>
      <w:r w:rsidR="00A5752C" w:rsidRPr="00005777">
        <w:t xml:space="preserve"> Screening</w:t>
      </w:r>
    </w:p>
    <w:tbl>
      <w:tblPr>
        <w:tblW w:w="0" w:type="auto"/>
        <w:jc w:val="center"/>
        <w:tblLook w:val="04A0" w:firstRow="1" w:lastRow="0" w:firstColumn="1" w:lastColumn="0" w:noHBand="0" w:noVBand="1"/>
      </w:tblPr>
      <w:tblGrid>
        <w:gridCol w:w="10656"/>
      </w:tblGrid>
      <w:tr w:rsidR="00461A99" w14:paraId="327AB2D4" w14:textId="77777777" w:rsidTr="00122AD7">
        <w:trPr>
          <w:trHeight w:val="1584"/>
          <w:jc w:val="center"/>
        </w:trPr>
        <w:tc>
          <w:tcPr>
            <w:tcW w:w="10656" w:type="dxa"/>
            <w:shd w:val="clear" w:color="auto" w:fill="EEF4FF"/>
            <w:vAlign w:val="center"/>
          </w:tcPr>
          <w:p w14:paraId="1B93AFFA" w14:textId="77777777" w:rsidR="00461A99" w:rsidRPr="00EA3E7E" w:rsidRDefault="00461A99" w:rsidP="00122AD7">
            <w:r w:rsidRPr="00EA3E7E">
              <w:rPr>
                <w:b/>
                <w:bCs w:val="0"/>
              </w:rPr>
              <w:t>HOW TO USE THIS SECTION</w:t>
            </w:r>
            <w:r>
              <w:rPr>
                <w:b/>
                <w:bCs w:val="0"/>
              </w:rPr>
              <w:t>:</w:t>
            </w:r>
          </w:p>
          <w:p w14:paraId="66D6B856" w14:textId="31682A76" w:rsidR="00B01007" w:rsidRDefault="00461A99" w:rsidP="00B01007">
            <w:pPr>
              <w:pStyle w:val="ListParagraph"/>
            </w:pPr>
            <w:r w:rsidRPr="00461A99">
              <w:t>Complete this section first. Select "</w:t>
            </w:r>
            <w:r w:rsidRPr="00461A99">
              <w:rPr>
                <w:b/>
                <w:bCs w:val="0"/>
              </w:rPr>
              <w:t>Yes</w:t>
            </w:r>
            <w:r w:rsidRPr="00461A99">
              <w:t xml:space="preserve">" only if the engagement is strictly advisory in nature and does not involve handling, directing, transferring, or receiving funds or securities. </w:t>
            </w:r>
            <w:r w:rsidR="00B01007">
              <w:t>A Minimal Risk classification may only be assigned after:</w:t>
            </w:r>
          </w:p>
          <w:p w14:paraId="55A06D5D" w14:textId="77777777" w:rsidR="00B01007" w:rsidRDefault="00B01007" w:rsidP="00B01007">
            <w:pPr>
              <w:pStyle w:val="ListParagraph"/>
              <w:numPr>
                <w:ilvl w:val="0"/>
                <w:numId w:val="34"/>
              </w:numPr>
              <w:ind w:left="1149"/>
            </w:pPr>
            <w:r>
              <w:t>Section B has been completed with no High-Risk Override responses;</w:t>
            </w:r>
          </w:p>
          <w:p w14:paraId="06906F11" w14:textId="77777777" w:rsidR="00B01007" w:rsidRDefault="00B01007" w:rsidP="00B01007">
            <w:pPr>
              <w:pStyle w:val="ListParagraph"/>
              <w:numPr>
                <w:ilvl w:val="0"/>
                <w:numId w:val="34"/>
              </w:numPr>
              <w:ind w:left="1149"/>
            </w:pPr>
            <w:r>
              <w:t>No material Unknown responses remain unresolved;</w:t>
            </w:r>
          </w:p>
          <w:p w14:paraId="6E019054" w14:textId="77777777" w:rsidR="00B01007" w:rsidRDefault="00B01007" w:rsidP="00B01007">
            <w:pPr>
              <w:pStyle w:val="ListParagraph"/>
              <w:numPr>
                <w:ilvl w:val="0"/>
                <w:numId w:val="34"/>
              </w:numPr>
              <w:ind w:left="1149"/>
            </w:pPr>
            <w:r>
              <w:t xml:space="preserve">Section C3 has been </w:t>
            </w:r>
            <w:proofErr w:type="gramStart"/>
            <w:r>
              <w:t>reviewed</w:t>
            </w:r>
            <w:proofErr w:type="gramEnd"/>
            <w:r>
              <w:t xml:space="preserve"> and no Medium-Risk Indicators apply; and</w:t>
            </w:r>
          </w:p>
          <w:p w14:paraId="0BD2D67A" w14:textId="4D0AC659" w:rsidR="00461A99" w:rsidRDefault="00B01007" w:rsidP="00B01007">
            <w:pPr>
              <w:pStyle w:val="ListParagraph"/>
              <w:numPr>
                <w:ilvl w:val="0"/>
                <w:numId w:val="34"/>
              </w:numPr>
              <w:ind w:left="1149"/>
            </w:pPr>
            <w:r>
              <w:t>All applicable C1 criteria are satisfied.</w:t>
            </w:r>
          </w:p>
        </w:tc>
      </w:tr>
    </w:tbl>
    <w:p w14:paraId="282B44CF" w14:textId="7E28B44D" w:rsidR="009E2E6A" w:rsidRDefault="009E2E6A" w:rsidP="00461A99">
      <w:pPr>
        <w:rPr>
          <w:sz w:val="2"/>
          <w:szCs w:val="2"/>
        </w:rPr>
      </w:pPr>
    </w:p>
    <w:p w14:paraId="1627565C" w14:textId="77777777" w:rsidR="00461A99" w:rsidRPr="00AA744A" w:rsidRDefault="00461A99" w:rsidP="00461A99">
      <w:pPr>
        <w:rPr>
          <w:sz w:val="2"/>
          <w:szCs w:val="2"/>
        </w:rPr>
      </w:pPr>
    </w:p>
    <w:tbl>
      <w:tblPr>
        <w:tblStyle w:val="TableGrid"/>
        <w:tblW w:w="10345" w:type="dxa"/>
        <w:jc w:val="center"/>
        <w:tblLook w:val="04A0" w:firstRow="1" w:lastRow="0" w:firstColumn="1" w:lastColumn="0" w:noHBand="0" w:noVBand="1"/>
      </w:tblPr>
      <w:tblGrid>
        <w:gridCol w:w="7735"/>
        <w:gridCol w:w="2610"/>
      </w:tblGrid>
      <w:tr w:rsidR="00E6692B" w14:paraId="0B235B20" w14:textId="77777777" w:rsidTr="00E6692B">
        <w:trPr>
          <w:trHeight w:val="432"/>
          <w:jc w:val="center"/>
        </w:trPr>
        <w:tc>
          <w:tcPr>
            <w:tcW w:w="7735" w:type="dxa"/>
            <w:shd w:val="clear" w:color="auto" w:fill="009900" w:themeFill="accent5"/>
            <w:vAlign w:val="center"/>
          </w:tcPr>
          <w:p w14:paraId="4311ED3A" w14:textId="77777777" w:rsidR="00E6692B" w:rsidRPr="009C3EF8" w:rsidRDefault="00E6692B" w:rsidP="009C3EF8">
            <w:pPr>
              <w:jc w:val="center"/>
              <w:rPr>
                <w:b/>
                <w:bCs w:val="0"/>
                <w:color w:val="FFFFFF" w:themeColor="background1"/>
                <w:sz w:val="24"/>
                <w:szCs w:val="24"/>
              </w:rPr>
            </w:pPr>
            <w:r w:rsidRPr="009C3EF8">
              <w:rPr>
                <w:b/>
                <w:bCs w:val="0"/>
                <w:color w:val="FFFFFF" w:themeColor="background1"/>
                <w:sz w:val="24"/>
                <w:szCs w:val="24"/>
              </w:rPr>
              <w:t>Indicator</w:t>
            </w:r>
          </w:p>
        </w:tc>
        <w:tc>
          <w:tcPr>
            <w:tcW w:w="2610" w:type="dxa"/>
            <w:shd w:val="clear" w:color="auto" w:fill="009900" w:themeFill="accent5"/>
            <w:vAlign w:val="center"/>
          </w:tcPr>
          <w:p w14:paraId="5AF8856C" w14:textId="7315EE43" w:rsidR="00E6692B" w:rsidRPr="009C3EF8" w:rsidRDefault="00E6692B" w:rsidP="009C3EF8">
            <w:pPr>
              <w:jc w:val="center"/>
              <w:rPr>
                <w:b/>
                <w:bCs w:val="0"/>
                <w:color w:val="FFFFFF" w:themeColor="background1"/>
                <w:sz w:val="24"/>
                <w:szCs w:val="24"/>
              </w:rPr>
            </w:pPr>
            <w:r w:rsidRPr="009C3EF8">
              <w:rPr>
                <w:b/>
                <w:bCs w:val="0"/>
                <w:color w:val="FFFFFF" w:themeColor="background1"/>
                <w:sz w:val="24"/>
                <w:szCs w:val="24"/>
              </w:rPr>
              <w:t>Response</w:t>
            </w:r>
          </w:p>
        </w:tc>
      </w:tr>
      <w:tr w:rsidR="00E6692B" w14:paraId="621A4460" w14:textId="77777777" w:rsidTr="00E6692B">
        <w:trPr>
          <w:trHeight w:val="576"/>
          <w:jc w:val="center"/>
        </w:trPr>
        <w:tc>
          <w:tcPr>
            <w:tcW w:w="7735" w:type="dxa"/>
            <w:shd w:val="clear" w:color="auto" w:fill="DDFFDD"/>
            <w:vAlign w:val="center"/>
          </w:tcPr>
          <w:p w14:paraId="666B9AC3" w14:textId="77777777" w:rsidR="00E6692B" w:rsidRDefault="00E6692B" w:rsidP="00E6692B">
            <w:r>
              <w:t xml:space="preserve">Business &amp; Asset Valuation only, with no </w:t>
            </w:r>
            <w:proofErr w:type="gramStart"/>
            <w:r>
              <w:t>funds</w:t>
            </w:r>
            <w:proofErr w:type="gramEnd"/>
            <w:r>
              <w:t xml:space="preserve"> movement or transaction instructions.</w:t>
            </w:r>
          </w:p>
        </w:tc>
        <w:tc>
          <w:tcPr>
            <w:tcW w:w="2610" w:type="dxa"/>
            <w:shd w:val="clear" w:color="auto" w:fill="DDFFDD"/>
            <w:vAlign w:val="center"/>
          </w:tcPr>
          <w:p w14:paraId="7C1238CE" w14:textId="7A0CD6EC" w:rsidR="00E6692B" w:rsidRDefault="000A5B6C" w:rsidP="00E6692B">
            <w:sdt>
              <w:sdtPr>
                <w:rPr>
                  <w:color w:val="2B579A"/>
                  <w:shd w:val="clear" w:color="auto" w:fill="E6E6E6"/>
                </w:rPr>
                <w:id w:val="-45325148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205731181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394253BF" w14:textId="77777777" w:rsidTr="00E6692B">
        <w:trPr>
          <w:trHeight w:val="576"/>
          <w:jc w:val="center"/>
        </w:trPr>
        <w:tc>
          <w:tcPr>
            <w:tcW w:w="7735" w:type="dxa"/>
            <w:shd w:val="clear" w:color="auto" w:fill="DDFFDD"/>
            <w:vAlign w:val="center"/>
          </w:tcPr>
          <w:p w14:paraId="24BDF55D" w14:textId="77777777" w:rsidR="000A5B6C" w:rsidRDefault="000A5B6C" w:rsidP="000A5B6C">
            <w:r>
              <w:t>Economic Loss Quantification only.</w:t>
            </w:r>
          </w:p>
        </w:tc>
        <w:tc>
          <w:tcPr>
            <w:tcW w:w="2610" w:type="dxa"/>
            <w:shd w:val="clear" w:color="auto" w:fill="DDFFDD"/>
            <w:vAlign w:val="center"/>
          </w:tcPr>
          <w:p w14:paraId="4A444CC7" w14:textId="4D16A166" w:rsidR="000A5B6C" w:rsidRDefault="000A5B6C" w:rsidP="000A5B6C">
            <w:sdt>
              <w:sdtPr>
                <w:rPr>
                  <w:color w:val="2B579A"/>
                  <w:shd w:val="clear" w:color="auto" w:fill="E6E6E6"/>
                </w:rPr>
                <w:id w:val="-26076811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3608046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531946B9" w14:textId="77777777" w:rsidTr="00E6692B">
        <w:trPr>
          <w:trHeight w:val="576"/>
          <w:jc w:val="center"/>
        </w:trPr>
        <w:tc>
          <w:tcPr>
            <w:tcW w:w="7735" w:type="dxa"/>
            <w:shd w:val="clear" w:color="auto" w:fill="DDFFDD"/>
            <w:vAlign w:val="center"/>
          </w:tcPr>
          <w:p w14:paraId="40939DFA" w14:textId="77777777" w:rsidR="000A5B6C" w:rsidRDefault="000A5B6C" w:rsidP="000A5B6C">
            <w:r>
              <w:t xml:space="preserve">Business Transition / Family Enterprise Advisory only, with no </w:t>
            </w:r>
            <w:proofErr w:type="gramStart"/>
            <w:r>
              <w:t>funds</w:t>
            </w:r>
            <w:proofErr w:type="gramEnd"/>
            <w:r>
              <w:t xml:space="preserve"> movement.</w:t>
            </w:r>
          </w:p>
        </w:tc>
        <w:tc>
          <w:tcPr>
            <w:tcW w:w="2610" w:type="dxa"/>
            <w:shd w:val="clear" w:color="auto" w:fill="DDFFDD"/>
            <w:vAlign w:val="center"/>
          </w:tcPr>
          <w:p w14:paraId="480DC3B1" w14:textId="171A794B" w:rsidR="000A5B6C" w:rsidRDefault="000A5B6C" w:rsidP="000A5B6C">
            <w:pPr>
              <w:tabs>
                <w:tab w:val="left" w:pos="4126"/>
              </w:tabs>
            </w:pPr>
            <w:sdt>
              <w:sdtPr>
                <w:rPr>
                  <w:color w:val="2B579A"/>
                  <w:shd w:val="clear" w:color="auto" w:fill="E6E6E6"/>
                </w:rPr>
                <w:id w:val="-61499378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97749484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5648CBD7" w14:textId="77777777" w:rsidTr="00E6692B">
        <w:trPr>
          <w:trHeight w:val="576"/>
          <w:jc w:val="center"/>
        </w:trPr>
        <w:tc>
          <w:tcPr>
            <w:tcW w:w="7735" w:type="dxa"/>
            <w:shd w:val="clear" w:color="auto" w:fill="DDFFDD"/>
            <w:vAlign w:val="center"/>
          </w:tcPr>
          <w:p w14:paraId="0BBB16DB" w14:textId="77777777" w:rsidR="000A5B6C" w:rsidRDefault="000A5B6C" w:rsidP="000A5B6C">
            <w:r>
              <w:t>Wealth management advice/discussion only, with no handling or direction of funds.</w:t>
            </w:r>
          </w:p>
        </w:tc>
        <w:tc>
          <w:tcPr>
            <w:tcW w:w="2610" w:type="dxa"/>
            <w:shd w:val="clear" w:color="auto" w:fill="DDFFDD"/>
            <w:vAlign w:val="center"/>
          </w:tcPr>
          <w:p w14:paraId="796C997A" w14:textId="2459CDB8" w:rsidR="000A5B6C" w:rsidRDefault="000A5B6C" w:rsidP="000A5B6C">
            <w:sdt>
              <w:sdtPr>
                <w:rPr>
                  <w:color w:val="2B579A"/>
                  <w:shd w:val="clear" w:color="auto" w:fill="E6E6E6"/>
                </w:rPr>
                <w:id w:val="121500484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76164885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4DB7D837" w14:textId="77777777" w:rsidTr="00E6692B">
        <w:trPr>
          <w:trHeight w:val="576"/>
          <w:jc w:val="center"/>
        </w:trPr>
        <w:tc>
          <w:tcPr>
            <w:tcW w:w="7735" w:type="dxa"/>
            <w:shd w:val="clear" w:color="auto" w:fill="DDFFDD"/>
            <w:vAlign w:val="center"/>
          </w:tcPr>
          <w:p w14:paraId="41C0CDF3" w14:textId="77777777" w:rsidR="000A5B6C" w:rsidRDefault="000A5B6C" w:rsidP="000A5B6C">
            <w:r>
              <w:t>Estate advisory only, not acting as trustee/executor and no funds movement.</w:t>
            </w:r>
          </w:p>
        </w:tc>
        <w:tc>
          <w:tcPr>
            <w:tcW w:w="2610" w:type="dxa"/>
            <w:shd w:val="clear" w:color="auto" w:fill="DDFFDD"/>
            <w:vAlign w:val="center"/>
          </w:tcPr>
          <w:p w14:paraId="3408B942" w14:textId="59ED19F4" w:rsidR="000A5B6C" w:rsidRDefault="000A5B6C" w:rsidP="000A5B6C">
            <w:sdt>
              <w:sdtPr>
                <w:rPr>
                  <w:color w:val="2B579A"/>
                  <w:shd w:val="clear" w:color="auto" w:fill="E6E6E6"/>
                </w:rPr>
                <w:id w:val="-26723988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7092008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3FC8FA69" w14:textId="77777777" w:rsidTr="00E6692B">
        <w:trPr>
          <w:trHeight w:val="576"/>
          <w:jc w:val="center"/>
        </w:trPr>
        <w:tc>
          <w:tcPr>
            <w:tcW w:w="7735" w:type="dxa"/>
            <w:shd w:val="clear" w:color="auto" w:fill="DDFFDD"/>
            <w:vAlign w:val="center"/>
          </w:tcPr>
          <w:p w14:paraId="20EE9B83" w14:textId="77777777" w:rsidR="000A5B6C" w:rsidRDefault="000A5B6C" w:rsidP="000A5B6C">
            <w:r>
              <w:t>No trust account activity, no transfer instructions, no ownership opacity, no trigger events.</w:t>
            </w:r>
          </w:p>
        </w:tc>
        <w:tc>
          <w:tcPr>
            <w:tcW w:w="2610" w:type="dxa"/>
            <w:shd w:val="clear" w:color="auto" w:fill="DDFFDD"/>
            <w:vAlign w:val="center"/>
          </w:tcPr>
          <w:p w14:paraId="6BE809B3" w14:textId="249D27B8" w:rsidR="000A5B6C" w:rsidRDefault="000A5B6C" w:rsidP="000A5B6C">
            <w:sdt>
              <w:sdtPr>
                <w:rPr>
                  <w:color w:val="2B579A"/>
                  <w:shd w:val="clear" w:color="auto" w:fill="E6E6E6"/>
                </w:rPr>
                <w:id w:val="201448787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24771842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bl>
    <w:p w14:paraId="1C3B54A8" w14:textId="77777777" w:rsidR="00FC7575" w:rsidRDefault="00FC7575" w:rsidP="00935C44"/>
    <w:p w14:paraId="2B2B6196" w14:textId="117E6E86" w:rsidR="00FC7575" w:rsidRDefault="00E17197" w:rsidP="00005777">
      <w:pPr>
        <w:pStyle w:val="Heading3"/>
      </w:pPr>
      <w:r>
        <w:t>C</w:t>
      </w:r>
      <w:r w:rsidR="00A5752C">
        <w:t>2. Low-Risk Indicators</w:t>
      </w:r>
    </w:p>
    <w:tbl>
      <w:tblPr>
        <w:tblW w:w="0" w:type="auto"/>
        <w:jc w:val="center"/>
        <w:tblLook w:val="04A0" w:firstRow="1" w:lastRow="0" w:firstColumn="1" w:lastColumn="0" w:noHBand="0" w:noVBand="1"/>
      </w:tblPr>
      <w:tblGrid>
        <w:gridCol w:w="10656"/>
      </w:tblGrid>
      <w:tr w:rsidR="00461A99" w14:paraId="5783163C" w14:textId="77777777" w:rsidTr="00122AD7">
        <w:trPr>
          <w:trHeight w:val="1584"/>
          <w:jc w:val="center"/>
        </w:trPr>
        <w:tc>
          <w:tcPr>
            <w:tcW w:w="10656" w:type="dxa"/>
            <w:shd w:val="clear" w:color="auto" w:fill="EEF4FF"/>
            <w:vAlign w:val="center"/>
          </w:tcPr>
          <w:p w14:paraId="4285B4BE" w14:textId="77777777" w:rsidR="00461A99" w:rsidRPr="00EA3E7E" w:rsidRDefault="00461A99" w:rsidP="00122AD7">
            <w:r w:rsidRPr="00EA3E7E">
              <w:rPr>
                <w:b/>
                <w:bCs w:val="0"/>
              </w:rPr>
              <w:t>HOW TO USE THIS SECTION</w:t>
            </w:r>
            <w:r>
              <w:rPr>
                <w:b/>
                <w:bCs w:val="0"/>
              </w:rPr>
              <w:t>:</w:t>
            </w:r>
          </w:p>
          <w:p w14:paraId="440A31D5" w14:textId="77777777" w:rsidR="00461A99" w:rsidRDefault="00461A99" w:rsidP="00122AD7">
            <w:pPr>
              <w:pStyle w:val="ListParagraph"/>
              <w:ind w:left="0"/>
            </w:pPr>
            <w:r w:rsidRPr="00461A99">
              <w:t>Complete this section for clients with straightforward business activities, transparent ownership, and no elevated risk concerns. Select "</w:t>
            </w:r>
            <w:r w:rsidRPr="00461A99">
              <w:rPr>
                <w:b/>
                <w:bCs w:val="0"/>
              </w:rPr>
              <w:t>Yes</w:t>
            </w:r>
            <w:r w:rsidRPr="00461A99">
              <w:t>" only when the statement accurately describes the client relationship.</w:t>
            </w:r>
            <w:r w:rsidR="005C121A">
              <w:t xml:space="preserve"> </w:t>
            </w:r>
            <w:r w:rsidR="005C121A" w:rsidRPr="005C121A">
              <w:t>If no High-Risk Override applies and no Medium-Risk indicators are present, the client may generally be classified as Low Risk, supported by the applicable low-risk indicators below.</w:t>
            </w:r>
          </w:p>
          <w:p w14:paraId="1F2372C5" w14:textId="77777777" w:rsidR="00B01007" w:rsidRDefault="00B01007" w:rsidP="00122AD7">
            <w:pPr>
              <w:pStyle w:val="ListParagraph"/>
              <w:ind w:left="0"/>
            </w:pPr>
          </w:p>
          <w:p w14:paraId="1E73B212" w14:textId="3A47FD71" w:rsidR="00B01007" w:rsidRDefault="00B01007" w:rsidP="00122AD7">
            <w:pPr>
              <w:pStyle w:val="ListParagraph"/>
              <w:ind w:left="0"/>
            </w:pPr>
            <w:r w:rsidRPr="00B01007">
              <w:t xml:space="preserve">Low-Risk Indicators are intended to support a </w:t>
            </w:r>
            <w:proofErr w:type="gramStart"/>
            <w:r w:rsidRPr="00B01007">
              <w:t>Low Risk</w:t>
            </w:r>
            <w:proofErr w:type="gramEnd"/>
            <w:r w:rsidRPr="00B01007">
              <w:t xml:space="preserve"> classification and do not override any Medium-Risk Indicator, High-Risk Override, Pending Review determination, escalation requirement, or Enhanced Due Diligence requirement.</w:t>
            </w:r>
          </w:p>
        </w:tc>
      </w:tr>
    </w:tbl>
    <w:p w14:paraId="472D41FB" w14:textId="77777777" w:rsidR="00461A99" w:rsidRPr="00461A99" w:rsidRDefault="00461A99" w:rsidP="00461A99"/>
    <w:tbl>
      <w:tblPr>
        <w:tblStyle w:val="TableGrid"/>
        <w:tblW w:w="0" w:type="auto"/>
        <w:jc w:val="center"/>
        <w:tblLook w:val="04A0" w:firstRow="1" w:lastRow="0" w:firstColumn="1" w:lastColumn="0" w:noHBand="0" w:noVBand="1"/>
      </w:tblPr>
      <w:tblGrid>
        <w:gridCol w:w="7555"/>
        <w:gridCol w:w="2656"/>
      </w:tblGrid>
      <w:tr w:rsidR="00E6692B" w14:paraId="52F0DB84" w14:textId="77777777" w:rsidTr="00E6692B">
        <w:trPr>
          <w:trHeight w:val="432"/>
          <w:jc w:val="center"/>
        </w:trPr>
        <w:tc>
          <w:tcPr>
            <w:tcW w:w="7555" w:type="dxa"/>
            <w:shd w:val="clear" w:color="auto" w:fill="273276" w:themeFill="accent2"/>
            <w:vAlign w:val="center"/>
          </w:tcPr>
          <w:p w14:paraId="3A4B85F1" w14:textId="77777777" w:rsidR="00E6692B" w:rsidRPr="009C3EF8" w:rsidRDefault="00E6692B" w:rsidP="009C3EF8">
            <w:pPr>
              <w:jc w:val="center"/>
              <w:rPr>
                <w:b/>
                <w:bCs w:val="0"/>
                <w:color w:val="FFFFFF" w:themeColor="background1"/>
                <w:sz w:val="24"/>
                <w:szCs w:val="24"/>
              </w:rPr>
            </w:pPr>
            <w:r w:rsidRPr="009C3EF8">
              <w:rPr>
                <w:b/>
                <w:bCs w:val="0"/>
                <w:color w:val="FFFFFF" w:themeColor="background1"/>
                <w:sz w:val="24"/>
                <w:szCs w:val="24"/>
              </w:rPr>
              <w:lastRenderedPageBreak/>
              <w:t>Indicator</w:t>
            </w:r>
          </w:p>
        </w:tc>
        <w:tc>
          <w:tcPr>
            <w:tcW w:w="2656" w:type="dxa"/>
            <w:shd w:val="clear" w:color="auto" w:fill="273276" w:themeFill="accent2"/>
            <w:vAlign w:val="center"/>
          </w:tcPr>
          <w:p w14:paraId="03118A3C" w14:textId="1134183B" w:rsidR="00E6692B" w:rsidRPr="009C3EF8" w:rsidRDefault="00E6692B" w:rsidP="009C3EF8">
            <w:pPr>
              <w:jc w:val="center"/>
              <w:rPr>
                <w:b/>
                <w:bCs w:val="0"/>
                <w:color w:val="FFFFFF" w:themeColor="background1"/>
                <w:sz w:val="24"/>
                <w:szCs w:val="24"/>
              </w:rPr>
            </w:pPr>
            <w:r w:rsidRPr="009C3EF8">
              <w:rPr>
                <w:b/>
                <w:bCs w:val="0"/>
                <w:color w:val="FFFFFF" w:themeColor="background1"/>
                <w:sz w:val="24"/>
                <w:szCs w:val="24"/>
              </w:rPr>
              <w:t>Response</w:t>
            </w:r>
          </w:p>
        </w:tc>
      </w:tr>
      <w:tr w:rsidR="000A5B6C" w14:paraId="6F453B9C" w14:textId="77777777" w:rsidTr="00E6692B">
        <w:trPr>
          <w:trHeight w:val="576"/>
          <w:jc w:val="center"/>
        </w:trPr>
        <w:tc>
          <w:tcPr>
            <w:tcW w:w="7555" w:type="dxa"/>
            <w:shd w:val="clear" w:color="auto" w:fill="E8EAF8"/>
            <w:vAlign w:val="center"/>
          </w:tcPr>
          <w:p w14:paraId="7D2227E0" w14:textId="77777777" w:rsidR="000A5B6C" w:rsidRDefault="000A5B6C" w:rsidP="000A5B6C">
            <w:r>
              <w:t xml:space="preserve">Long-standing CSS </w:t>
            </w:r>
            <w:proofErr w:type="gramStart"/>
            <w:r>
              <w:t>relationship</w:t>
            </w:r>
            <w:proofErr w:type="gramEnd"/>
            <w:r>
              <w:t xml:space="preserve"> and client </w:t>
            </w:r>
            <w:proofErr w:type="gramStart"/>
            <w:r>
              <w:t>activity is consistent</w:t>
            </w:r>
            <w:proofErr w:type="gramEnd"/>
            <w:r>
              <w:t xml:space="preserve"> with known history.</w:t>
            </w:r>
          </w:p>
        </w:tc>
        <w:tc>
          <w:tcPr>
            <w:tcW w:w="2656" w:type="dxa"/>
            <w:shd w:val="clear" w:color="auto" w:fill="E8EAF8"/>
            <w:vAlign w:val="center"/>
          </w:tcPr>
          <w:p w14:paraId="72DEFAB7" w14:textId="40EC0D53" w:rsidR="000A5B6C" w:rsidRDefault="000A5B6C" w:rsidP="000A5B6C">
            <w:sdt>
              <w:sdtPr>
                <w:rPr>
                  <w:color w:val="2B579A"/>
                  <w:shd w:val="clear" w:color="auto" w:fill="E6E6E6"/>
                </w:rPr>
                <w:id w:val="197232486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78750650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4E9170BC" w14:textId="77777777" w:rsidTr="00E6692B">
        <w:trPr>
          <w:trHeight w:val="576"/>
          <w:jc w:val="center"/>
        </w:trPr>
        <w:tc>
          <w:tcPr>
            <w:tcW w:w="7555" w:type="dxa"/>
            <w:shd w:val="clear" w:color="auto" w:fill="E8EAF8"/>
            <w:vAlign w:val="center"/>
          </w:tcPr>
          <w:p w14:paraId="4E0CB6B3" w14:textId="77777777" w:rsidR="000A5B6C" w:rsidRDefault="000A5B6C" w:rsidP="000A5B6C">
            <w:r>
              <w:t>Client is local/in-region and service is delivered in person or through known channels.</w:t>
            </w:r>
          </w:p>
        </w:tc>
        <w:tc>
          <w:tcPr>
            <w:tcW w:w="2656" w:type="dxa"/>
            <w:shd w:val="clear" w:color="auto" w:fill="E8EAF8"/>
            <w:vAlign w:val="center"/>
          </w:tcPr>
          <w:p w14:paraId="4F14085B" w14:textId="17256C2F" w:rsidR="000A5B6C" w:rsidRDefault="000A5B6C" w:rsidP="000A5B6C">
            <w:sdt>
              <w:sdtPr>
                <w:rPr>
                  <w:color w:val="2B579A"/>
                  <w:shd w:val="clear" w:color="auto" w:fill="E6E6E6"/>
                </w:rPr>
                <w:id w:val="59398736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76025653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7BA524C5" w14:textId="77777777" w:rsidTr="00E6692B">
        <w:trPr>
          <w:trHeight w:val="576"/>
          <w:jc w:val="center"/>
        </w:trPr>
        <w:tc>
          <w:tcPr>
            <w:tcW w:w="7555" w:type="dxa"/>
            <w:shd w:val="clear" w:color="auto" w:fill="E8EAF8"/>
            <w:vAlign w:val="center"/>
          </w:tcPr>
          <w:p w14:paraId="3C9EC8CB" w14:textId="135446E5" w:rsidR="000A5B6C" w:rsidRDefault="000A5B6C" w:rsidP="000A5B6C">
            <w:r>
              <w:t xml:space="preserve">Simple T1 </w:t>
            </w:r>
          </w:p>
        </w:tc>
        <w:tc>
          <w:tcPr>
            <w:tcW w:w="2656" w:type="dxa"/>
            <w:shd w:val="clear" w:color="auto" w:fill="E8EAF8"/>
            <w:vAlign w:val="center"/>
          </w:tcPr>
          <w:p w14:paraId="70836420" w14:textId="5CC8E8A5" w:rsidR="000A5B6C" w:rsidRDefault="000A5B6C" w:rsidP="000A5B6C">
            <w:sdt>
              <w:sdtPr>
                <w:rPr>
                  <w:color w:val="2B579A"/>
                  <w:shd w:val="clear" w:color="auto" w:fill="E6E6E6"/>
                </w:rPr>
                <w:id w:val="115996351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45925914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6D7BD738" w14:textId="77777777" w:rsidTr="00E6692B">
        <w:trPr>
          <w:trHeight w:val="576"/>
          <w:jc w:val="center"/>
        </w:trPr>
        <w:tc>
          <w:tcPr>
            <w:tcW w:w="7555" w:type="dxa"/>
            <w:shd w:val="clear" w:color="auto" w:fill="E8EAF8"/>
            <w:vAlign w:val="center"/>
          </w:tcPr>
          <w:p w14:paraId="0980913B" w14:textId="77777777" w:rsidR="000A5B6C" w:rsidRDefault="000A5B6C" w:rsidP="000A5B6C">
            <w:r>
              <w:t>Transparent ownership and no related-party or nominee concerns.</w:t>
            </w:r>
          </w:p>
        </w:tc>
        <w:tc>
          <w:tcPr>
            <w:tcW w:w="2656" w:type="dxa"/>
            <w:shd w:val="clear" w:color="auto" w:fill="E8EAF8"/>
            <w:vAlign w:val="center"/>
          </w:tcPr>
          <w:p w14:paraId="34F671E3" w14:textId="24FE0557" w:rsidR="000A5B6C" w:rsidRDefault="000A5B6C" w:rsidP="000A5B6C">
            <w:sdt>
              <w:sdtPr>
                <w:rPr>
                  <w:color w:val="2B579A"/>
                  <w:shd w:val="clear" w:color="auto" w:fill="E6E6E6"/>
                </w:rPr>
                <w:id w:val="-214340800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6730094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2B17286B" w14:textId="77777777" w:rsidTr="00E6692B">
        <w:trPr>
          <w:trHeight w:val="576"/>
          <w:jc w:val="center"/>
        </w:trPr>
        <w:tc>
          <w:tcPr>
            <w:tcW w:w="7555" w:type="dxa"/>
            <w:shd w:val="clear" w:color="auto" w:fill="E8EAF8"/>
            <w:vAlign w:val="center"/>
          </w:tcPr>
          <w:p w14:paraId="42FC83AB" w14:textId="77777777" w:rsidR="000A5B6C" w:rsidRDefault="000A5B6C" w:rsidP="000A5B6C">
            <w:r>
              <w:t>No international exposure, no trust/funds activity, no foreign asset reporting.</w:t>
            </w:r>
          </w:p>
        </w:tc>
        <w:tc>
          <w:tcPr>
            <w:tcW w:w="2656" w:type="dxa"/>
            <w:shd w:val="clear" w:color="auto" w:fill="E8EAF8"/>
            <w:vAlign w:val="center"/>
          </w:tcPr>
          <w:p w14:paraId="6ED98D85" w14:textId="31BDF310" w:rsidR="000A5B6C" w:rsidRDefault="000A5B6C" w:rsidP="000A5B6C">
            <w:sdt>
              <w:sdtPr>
                <w:rPr>
                  <w:color w:val="2B579A"/>
                  <w:shd w:val="clear" w:color="auto" w:fill="E6E6E6"/>
                </w:rPr>
                <w:id w:val="-110280302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20236746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1D187DEA" w14:textId="77777777" w:rsidTr="00E6692B">
        <w:trPr>
          <w:trHeight w:val="576"/>
          <w:jc w:val="center"/>
        </w:trPr>
        <w:tc>
          <w:tcPr>
            <w:tcW w:w="7555" w:type="dxa"/>
            <w:shd w:val="clear" w:color="auto" w:fill="E8EAF8"/>
            <w:vAlign w:val="center"/>
          </w:tcPr>
          <w:p w14:paraId="32766983" w14:textId="77777777" w:rsidR="000A5B6C" w:rsidRDefault="000A5B6C" w:rsidP="000A5B6C">
            <w:r>
              <w:t>No unusual transactions, aggressive structures, or red flags noted.</w:t>
            </w:r>
          </w:p>
        </w:tc>
        <w:tc>
          <w:tcPr>
            <w:tcW w:w="2656" w:type="dxa"/>
            <w:shd w:val="clear" w:color="auto" w:fill="E8EAF8"/>
            <w:vAlign w:val="center"/>
          </w:tcPr>
          <w:p w14:paraId="28FA1586" w14:textId="6B5DEE33" w:rsidR="000A5B6C" w:rsidRDefault="000A5B6C" w:rsidP="000A5B6C">
            <w:sdt>
              <w:sdtPr>
                <w:rPr>
                  <w:color w:val="2B579A"/>
                  <w:shd w:val="clear" w:color="auto" w:fill="E6E6E6"/>
                </w:rPr>
                <w:id w:val="45399524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61193318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bl>
    <w:p w14:paraId="4FA33161" w14:textId="77777777" w:rsidR="00FC7575" w:rsidRDefault="00FC7575" w:rsidP="00935C44"/>
    <w:p w14:paraId="42AA38FE" w14:textId="792D6162" w:rsidR="00FC7575" w:rsidRDefault="00E17197" w:rsidP="00005777">
      <w:pPr>
        <w:pStyle w:val="Heading3"/>
      </w:pPr>
      <w:r>
        <w:t>C</w:t>
      </w:r>
      <w:r w:rsidR="00A5752C">
        <w:t>3. Medium-Risk Indicators</w:t>
      </w:r>
    </w:p>
    <w:tbl>
      <w:tblPr>
        <w:tblW w:w="0" w:type="auto"/>
        <w:jc w:val="center"/>
        <w:tblLook w:val="04A0" w:firstRow="1" w:lastRow="0" w:firstColumn="1" w:lastColumn="0" w:noHBand="0" w:noVBand="1"/>
      </w:tblPr>
      <w:tblGrid>
        <w:gridCol w:w="10656"/>
      </w:tblGrid>
      <w:tr w:rsidR="00461A99" w14:paraId="54978AA7" w14:textId="77777777" w:rsidTr="00122AD7">
        <w:trPr>
          <w:trHeight w:val="1584"/>
          <w:jc w:val="center"/>
        </w:trPr>
        <w:tc>
          <w:tcPr>
            <w:tcW w:w="10656" w:type="dxa"/>
            <w:shd w:val="clear" w:color="auto" w:fill="EEF4FF"/>
            <w:vAlign w:val="center"/>
          </w:tcPr>
          <w:p w14:paraId="566EF7C4" w14:textId="77777777" w:rsidR="00461A99" w:rsidRPr="00EA3E7E" w:rsidRDefault="00461A99" w:rsidP="00122AD7">
            <w:r w:rsidRPr="00EA3E7E">
              <w:rPr>
                <w:b/>
                <w:bCs w:val="0"/>
              </w:rPr>
              <w:t>HOW TO USE THIS SECTION</w:t>
            </w:r>
            <w:r>
              <w:rPr>
                <w:b/>
                <w:bCs w:val="0"/>
              </w:rPr>
              <w:t>:</w:t>
            </w:r>
          </w:p>
          <w:p w14:paraId="7B82516C" w14:textId="56191D7D" w:rsidR="009559D5" w:rsidRDefault="009559D5" w:rsidP="009559D5">
            <w:pPr>
              <w:pStyle w:val="ListParagraph"/>
              <w:ind w:left="75"/>
              <w:rPr>
                <w:lang w:val="en-CA"/>
              </w:rPr>
            </w:pPr>
            <w:r w:rsidRPr="009559D5">
              <w:rPr>
                <w:lang w:val="en-CA"/>
              </w:rPr>
              <w:t>Complete this section for clients and engagements that present elevated money laundering (ML) or terrorist financing (TF) risk due to the nature of the services provided, geographic considerations, reporting requirements, delivery channels, or other relationship characteristics.</w:t>
            </w:r>
          </w:p>
          <w:p w14:paraId="62C5BFC8" w14:textId="77777777" w:rsidR="009559D5" w:rsidRPr="009559D5" w:rsidRDefault="009559D5" w:rsidP="009559D5">
            <w:pPr>
              <w:pStyle w:val="ListParagraph"/>
              <w:ind w:left="75"/>
              <w:rPr>
                <w:lang w:val="en-CA"/>
              </w:rPr>
            </w:pPr>
          </w:p>
          <w:p w14:paraId="517A9697" w14:textId="77777777" w:rsidR="009559D5" w:rsidRPr="009559D5" w:rsidRDefault="009559D5" w:rsidP="009559D5">
            <w:pPr>
              <w:pStyle w:val="ListParagraph"/>
              <w:ind w:left="75"/>
              <w:rPr>
                <w:b/>
                <w:bCs w:val="0"/>
                <w:i/>
                <w:iCs/>
                <w:lang w:val="en-CA"/>
              </w:rPr>
            </w:pPr>
            <w:r w:rsidRPr="009559D5">
              <w:rPr>
                <w:lang w:val="en-CA"/>
              </w:rPr>
              <w:t>Select "</w:t>
            </w:r>
            <w:r w:rsidRPr="009559D5">
              <w:rPr>
                <w:b/>
                <w:bCs w:val="0"/>
                <w:lang w:val="en-CA"/>
              </w:rPr>
              <w:t>Yes</w:t>
            </w:r>
            <w:r w:rsidRPr="009559D5">
              <w:rPr>
                <w:lang w:val="en-CA"/>
              </w:rPr>
              <w:t xml:space="preserve">" only where the indicator accurately describes the client or engagement. A Medium-Risk classification may be appropriate where one or more of these indicators are present and </w:t>
            </w:r>
            <w:r w:rsidRPr="009559D5">
              <w:rPr>
                <w:b/>
                <w:bCs w:val="0"/>
                <w:i/>
                <w:iCs/>
                <w:lang w:val="en-CA"/>
              </w:rPr>
              <w:t>no High-Risk Override has been identified in Section B.</w:t>
            </w:r>
          </w:p>
          <w:p w14:paraId="6558EA2E" w14:textId="77777777" w:rsidR="009559D5" w:rsidRPr="009559D5" w:rsidRDefault="009559D5" w:rsidP="009559D5">
            <w:pPr>
              <w:pStyle w:val="ListParagraph"/>
              <w:ind w:left="75"/>
              <w:rPr>
                <w:lang w:val="en-CA"/>
              </w:rPr>
            </w:pPr>
          </w:p>
          <w:p w14:paraId="66F01085" w14:textId="77777777" w:rsidR="009559D5" w:rsidRDefault="009559D5" w:rsidP="009559D5">
            <w:pPr>
              <w:pStyle w:val="ListParagraph"/>
              <w:ind w:left="75"/>
              <w:rPr>
                <w:lang w:val="en-CA"/>
              </w:rPr>
            </w:pPr>
            <w:r w:rsidRPr="009559D5">
              <w:rPr>
                <w:lang w:val="en-CA"/>
              </w:rPr>
              <w:t>Medium-Risk clients require standard Know Your Client (KYC) and Client Due Diligence (CDD) procedures, together with ongoing monitoring appropriate to the nature and complexity of the client relationship.</w:t>
            </w:r>
          </w:p>
          <w:p w14:paraId="058AE900" w14:textId="77777777" w:rsidR="007E3338" w:rsidRPr="007E3338" w:rsidRDefault="007E3338" w:rsidP="007E3338">
            <w:pPr>
              <w:rPr>
                <w:color w:val="C00000"/>
                <w:lang w:val="en-CA" w:eastAsia="en-CA"/>
              </w:rPr>
            </w:pPr>
            <w:r w:rsidRPr="007E3338">
              <w:rPr>
                <w:i/>
                <w:iCs/>
                <w:color w:val="C00000"/>
                <w:lang w:val="en-CA" w:eastAsia="en-CA"/>
              </w:rPr>
              <w:t xml:space="preserve">Responses marked </w:t>
            </w:r>
            <w:r w:rsidRPr="007E3338">
              <w:rPr>
                <w:b/>
                <w:color w:val="000000" w:themeColor="text1"/>
                <w:lang w:val="en-CA" w:eastAsia="en-CA"/>
              </w:rPr>
              <w:t>Unknown</w:t>
            </w:r>
            <w:r w:rsidRPr="007E3338">
              <w:rPr>
                <w:color w:val="C00000"/>
                <w:lang w:val="en-CA" w:eastAsia="en-CA"/>
              </w:rPr>
              <w:t xml:space="preserve"> </w:t>
            </w:r>
            <w:r w:rsidRPr="007E3338">
              <w:rPr>
                <w:i/>
                <w:iCs/>
                <w:color w:val="C00000"/>
                <w:lang w:val="en-CA" w:eastAsia="en-CA"/>
              </w:rPr>
              <w:t xml:space="preserve">must be supported by documented rationale (Section D) and follow-up actions where information is unavailable, cannot be verified, is inconsistent, or raises concern, the matter should be escalated to the Deputy CAMLO for review. </w:t>
            </w:r>
          </w:p>
          <w:p w14:paraId="151BA9AB" w14:textId="77777777" w:rsidR="00461A99" w:rsidRDefault="009559D5" w:rsidP="009559D5">
            <w:pPr>
              <w:pStyle w:val="ListParagraph"/>
              <w:ind w:left="75"/>
              <w:rPr>
                <w:lang w:val="en-CA"/>
              </w:rPr>
            </w:pPr>
            <w:r w:rsidRPr="009559D5">
              <w:rPr>
                <w:lang w:val="en-CA"/>
              </w:rPr>
              <w:t>Professional judgment should be applied when determining the final risk classification. Where multiple Medium-Risk indicators are present, or where circumstances appear unusual, inconsistent, or insufficiently explained, consider whether escalation or enhanced due diligence may be warranted.</w:t>
            </w:r>
          </w:p>
          <w:p w14:paraId="3E2953E4" w14:textId="77777777" w:rsidR="00B01007" w:rsidRDefault="00B01007" w:rsidP="009559D5">
            <w:pPr>
              <w:pStyle w:val="ListParagraph"/>
              <w:ind w:left="75"/>
              <w:rPr>
                <w:lang w:val="en-CA"/>
              </w:rPr>
            </w:pPr>
          </w:p>
          <w:p w14:paraId="7A241070" w14:textId="1B6F7C02" w:rsidR="00B01007" w:rsidRPr="009559D5" w:rsidRDefault="00B01007" w:rsidP="009559D5">
            <w:pPr>
              <w:pStyle w:val="ListParagraph"/>
              <w:ind w:left="75"/>
              <w:rPr>
                <w:lang w:val="en-CA"/>
              </w:rPr>
            </w:pPr>
            <w:r w:rsidRPr="00B01007">
              <w:t>If one or more Medium-Risk Indicators are present, the client should generally be classified as Medium Risk unless professional judgment supports escalation to High Risk. Medium-Risk Indicators cannot reduce a High-Risk classification already established in Section B.</w:t>
            </w:r>
          </w:p>
        </w:tc>
      </w:tr>
    </w:tbl>
    <w:p w14:paraId="333428E2" w14:textId="77777777" w:rsidR="00461A99" w:rsidRPr="00461A99" w:rsidRDefault="00461A99" w:rsidP="00461A99"/>
    <w:tbl>
      <w:tblPr>
        <w:tblStyle w:val="TableGrid"/>
        <w:tblW w:w="0" w:type="auto"/>
        <w:jc w:val="center"/>
        <w:tblLook w:val="04A0" w:firstRow="1" w:lastRow="0" w:firstColumn="1" w:lastColumn="0" w:noHBand="0" w:noVBand="1"/>
      </w:tblPr>
      <w:tblGrid>
        <w:gridCol w:w="7098"/>
        <w:gridCol w:w="3548"/>
      </w:tblGrid>
      <w:tr w:rsidR="009559D5" w14:paraId="07E1B7F1" w14:textId="77777777" w:rsidTr="009559D5">
        <w:trPr>
          <w:trHeight w:val="432"/>
          <w:jc w:val="center"/>
        </w:trPr>
        <w:tc>
          <w:tcPr>
            <w:tcW w:w="7098" w:type="dxa"/>
            <w:shd w:val="clear" w:color="auto" w:fill="FFC000"/>
            <w:vAlign w:val="center"/>
          </w:tcPr>
          <w:p w14:paraId="1759518D" w14:textId="77777777" w:rsidR="009559D5" w:rsidRPr="009C3EF8" w:rsidRDefault="009559D5" w:rsidP="009C3EF8">
            <w:pPr>
              <w:jc w:val="center"/>
              <w:rPr>
                <w:b/>
                <w:bCs w:val="0"/>
                <w:sz w:val="24"/>
                <w:szCs w:val="24"/>
              </w:rPr>
            </w:pPr>
            <w:r w:rsidRPr="009C3EF8">
              <w:rPr>
                <w:b/>
                <w:bCs w:val="0"/>
                <w:sz w:val="24"/>
                <w:szCs w:val="24"/>
              </w:rPr>
              <w:lastRenderedPageBreak/>
              <w:t>Indicator</w:t>
            </w:r>
          </w:p>
        </w:tc>
        <w:tc>
          <w:tcPr>
            <w:tcW w:w="3548" w:type="dxa"/>
            <w:shd w:val="clear" w:color="auto" w:fill="FFC000"/>
            <w:vAlign w:val="center"/>
          </w:tcPr>
          <w:p w14:paraId="589A4991" w14:textId="77777777" w:rsidR="009559D5" w:rsidRPr="009C3EF8" w:rsidRDefault="009559D5" w:rsidP="009C3EF8">
            <w:pPr>
              <w:jc w:val="center"/>
              <w:rPr>
                <w:b/>
                <w:bCs w:val="0"/>
                <w:sz w:val="24"/>
                <w:szCs w:val="24"/>
              </w:rPr>
            </w:pPr>
            <w:r w:rsidRPr="009C3EF8">
              <w:rPr>
                <w:b/>
                <w:bCs w:val="0"/>
                <w:sz w:val="24"/>
                <w:szCs w:val="24"/>
              </w:rPr>
              <w:t>Response</w:t>
            </w:r>
          </w:p>
        </w:tc>
      </w:tr>
      <w:tr w:rsidR="009559D5" w14:paraId="69C6B2F1" w14:textId="77777777" w:rsidTr="009559D5">
        <w:trPr>
          <w:trHeight w:val="720"/>
          <w:jc w:val="center"/>
        </w:trPr>
        <w:tc>
          <w:tcPr>
            <w:tcW w:w="7098" w:type="dxa"/>
            <w:shd w:val="clear" w:color="auto" w:fill="FFF5D5"/>
            <w:vAlign w:val="center"/>
          </w:tcPr>
          <w:p w14:paraId="795A4162" w14:textId="77777777" w:rsidR="009559D5" w:rsidRDefault="009559D5" w:rsidP="005A064D">
            <w:r>
              <w:t>Canadian-resident US tax filing and/or foreign asset reporting.</w:t>
            </w:r>
          </w:p>
        </w:tc>
        <w:tc>
          <w:tcPr>
            <w:tcW w:w="3548" w:type="dxa"/>
            <w:shd w:val="clear" w:color="auto" w:fill="FFF5D5"/>
            <w:vAlign w:val="center"/>
          </w:tcPr>
          <w:p w14:paraId="168B4C95" w14:textId="1ADD28D6" w:rsidR="009559D5" w:rsidRPr="005A064D" w:rsidRDefault="000A5B6C" w:rsidP="005A064D">
            <w:pPr>
              <w:rPr>
                <w:b/>
                <w:bCs w:val="0"/>
              </w:rPr>
            </w:pPr>
            <w:sdt>
              <w:sdtPr>
                <w:rPr>
                  <w:color w:val="2B579A"/>
                  <w:shd w:val="clear" w:color="auto" w:fill="E6E6E6"/>
                </w:rPr>
                <w:id w:val="61572214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66585035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56786537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3235484E" w14:textId="77777777" w:rsidTr="009559D5">
        <w:trPr>
          <w:trHeight w:val="720"/>
          <w:jc w:val="center"/>
        </w:trPr>
        <w:tc>
          <w:tcPr>
            <w:tcW w:w="7098" w:type="dxa"/>
            <w:shd w:val="clear" w:color="auto" w:fill="FFF5D5"/>
            <w:vAlign w:val="center"/>
          </w:tcPr>
          <w:p w14:paraId="06CBBB2B" w14:textId="77777777" w:rsidR="009559D5" w:rsidRDefault="009559D5" w:rsidP="005A064D">
            <w:r>
              <w:t>Payroll, T4 preparation, bookkeeping, or monthly accounting services.</w:t>
            </w:r>
          </w:p>
        </w:tc>
        <w:tc>
          <w:tcPr>
            <w:tcW w:w="3548" w:type="dxa"/>
            <w:shd w:val="clear" w:color="auto" w:fill="FFF5D5"/>
            <w:vAlign w:val="center"/>
          </w:tcPr>
          <w:p w14:paraId="50D81E83" w14:textId="1F71CBC0" w:rsidR="009559D5" w:rsidRPr="005A064D" w:rsidRDefault="000A5B6C" w:rsidP="005A064D">
            <w:pPr>
              <w:rPr>
                <w:b/>
                <w:bCs w:val="0"/>
              </w:rPr>
            </w:pPr>
            <w:sdt>
              <w:sdtPr>
                <w:rPr>
                  <w:color w:val="2B579A"/>
                  <w:shd w:val="clear" w:color="auto" w:fill="E6E6E6"/>
                </w:rPr>
                <w:id w:val="-134538727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91045870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9094461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5282A428" w14:textId="77777777" w:rsidTr="009559D5">
        <w:trPr>
          <w:trHeight w:val="720"/>
          <w:jc w:val="center"/>
        </w:trPr>
        <w:tc>
          <w:tcPr>
            <w:tcW w:w="7098" w:type="dxa"/>
            <w:shd w:val="clear" w:color="auto" w:fill="FFF5D5"/>
            <w:vAlign w:val="center"/>
          </w:tcPr>
          <w:p w14:paraId="4123B446" w14:textId="77777777" w:rsidR="009559D5" w:rsidRDefault="009559D5" w:rsidP="005A064D">
            <w:r>
              <w:t>Corporate tax (T2) for business clients where ownership is transparent.</w:t>
            </w:r>
          </w:p>
        </w:tc>
        <w:tc>
          <w:tcPr>
            <w:tcW w:w="3548" w:type="dxa"/>
            <w:shd w:val="clear" w:color="auto" w:fill="FFF5D5"/>
            <w:vAlign w:val="center"/>
          </w:tcPr>
          <w:p w14:paraId="11C7B667" w14:textId="0B99C092" w:rsidR="009559D5" w:rsidRPr="005A064D" w:rsidRDefault="000A5B6C" w:rsidP="005A064D">
            <w:pPr>
              <w:rPr>
                <w:b/>
                <w:bCs w:val="0"/>
              </w:rPr>
            </w:pPr>
            <w:sdt>
              <w:sdtPr>
                <w:rPr>
                  <w:color w:val="2B579A"/>
                  <w:shd w:val="clear" w:color="auto" w:fill="E6E6E6"/>
                </w:rPr>
                <w:id w:val="-184431522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8615135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97594671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371657B0" w14:textId="77777777" w:rsidTr="009559D5">
        <w:trPr>
          <w:trHeight w:val="720"/>
          <w:jc w:val="center"/>
        </w:trPr>
        <w:tc>
          <w:tcPr>
            <w:tcW w:w="7098" w:type="dxa"/>
            <w:shd w:val="clear" w:color="auto" w:fill="FFF5D5"/>
            <w:vAlign w:val="center"/>
          </w:tcPr>
          <w:p w14:paraId="78E06EC4" w14:textId="77777777" w:rsidR="009559D5" w:rsidRDefault="009559D5" w:rsidP="005A064D">
            <w:r>
              <w:t>Standard T3 trust return for a transparent Canadian family trust.</w:t>
            </w:r>
          </w:p>
        </w:tc>
        <w:tc>
          <w:tcPr>
            <w:tcW w:w="3548" w:type="dxa"/>
            <w:shd w:val="clear" w:color="auto" w:fill="FFF5D5"/>
            <w:vAlign w:val="center"/>
          </w:tcPr>
          <w:p w14:paraId="5506460B" w14:textId="32956AB1" w:rsidR="009559D5" w:rsidRPr="005A064D" w:rsidRDefault="000A5B6C" w:rsidP="005A064D">
            <w:pPr>
              <w:rPr>
                <w:b/>
                <w:bCs w:val="0"/>
              </w:rPr>
            </w:pPr>
            <w:sdt>
              <w:sdtPr>
                <w:rPr>
                  <w:color w:val="2B579A"/>
                  <w:shd w:val="clear" w:color="auto" w:fill="E6E6E6"/>
                </w:rPr>
                <w:id w:val="-19532138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59284169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340103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65AAE5C5" w14:textId="77777777" w:rsidTr="009559D5">
        <w:trPr>
          <w:trHeight w:val="720"/>
          <w:jc w:val="center"/>
        </w:trPr>
        <w:tc>
          <w:tcPr>
            <w:tcW w:w="7098" w:type="dxa"/>
            <w:shd w:val="clear" w:color="auto" w:fill="FFF5D5"/>
            <w:vAlign w:val="center"/>
          </w:tcPr>
          <w:p w14:paraId="6F2EC0FE" w14:textId="77777777" w:rsidR="009559D5" w:rsidRDefault="009559D5" w:rsidP="005A064D">
            <w:r>
              <w:t>T5 investment income slips for standard local investment reporting.</w:t>
            </w:r>
          </w:p>
        </w:tc>
        <w:tc>
          <w:tcPr>
            <w:tcW w:w="3548" w:type="dxa"/>
            <w:shd w:val="clear" w:color="auto" w:fill="FFF5D5"/>
            <w:vAlign w:val="center"/>
          </w:tcPr>
          <w:p w14:paraId="6FAECA1B" w14:textId="087BC033" w:rsidR="009559D5" w:rsidRPr="005A064D" w:rsidRDefault="000A5B6C" w:rsidP="005A064D">
            <w:pPr>
              <w:rPr>
                <w:b/>
                <w:bCs w:val="0"/>
              </w:rPr>
            </w:pPr>
            <w:sdt>
              <w:sdtPr>
                <w:rPr>
                  <w:color w:val="2B579A"/>
                  <w:shd w:val="clear" w:color="auto" w:fill="E6E6E6"/>
                </w:rPr>
                <w:id w:val="-77717729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90233397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72511180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5E341436" w14:textId="77777777" w:rsidTr="009559D5">
        <w:trPr>
          <w:trHeight w:val="720"/>
          <w:jc w:val="center"/>
        </w:trPr>
        <w:tc>
          <w:tcPr>
            <w:tcW w:w="7098" w:type="dxa"/>
            <w:shd w:val="clear" w:color="auto" w:fill="FFF5D5"/>
            <w:vAlign w:val="center"/>
          </w:tcPr>
          <w:p w14:paraId="683DB066" w14:textId="77777777" w:rsidR="009559D5" w:rsidRDefault="009559D5" w:rsidP="005A064D">
            <w:r>
              <w:t>Fractional CFO services with transparent ownership and normal business purpose.</w:t>
            </w:r>
          </w:p>
        </w:tc>
        <w:tc>
          <w:tcPr>
            <w:tcW w:w="3548" w:type="dxa"/>
            <w:shd w:val="clear" w:color="auto" w:fill="FFF5D5"/>
            <w:vAlign w:val="center"/>
          </w:tcPr>
          <w:p w14:paraId="21A5203C" w14:textId="6B6AED19" w:rsidR="009559D5" w:rsidRPr="005A064D" w:rsidRDefault="000A5B6C" w:rsidP="005A064D">
            <w:pPr>
              <w:rPr>
                <w:b/>
                <w:bCs w:val="0"/>
              </w:rPr>
            </w:pPr>
            <w:sdt>
              <w:sdtPr>
                <w:rPr>
                  <w:color w:val="2B579A"/>
                  <w:shd w:val="clear" w:color="auto" w:fill="E6E6E6"/>
                </w:rPr>
                <w:id w:val="200455548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86080366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85962258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75B28C19" w14:textId="77777777" w:rsidTr="009559D5">
        <w:trPr>
          <w:trHeight w:val="720"/>
          <w:jc w:val="center"/>
        </w:trPr>
        <w:tc>
          <w:tcPr>
            <w:tcW w:w="7098" w:type="dxa"/>
            <w:shd w:val="clear" w:color="auto" w:fill="FFF5D5"/>
            <w:vAlign w:val="center"/>
          </w:tcPr>
          <w:p w14:paraId="0EF8462B" w14:textId="77777777" w:rsidR="009559D5" w:rsidRDefault="009559D5" w:rsidP="005A064D">
            <w:r>
              <w:t>Virtual or telephone-based relationship with adequate ID verification and no red flags.</w:t>
            </w:r>
          </w:p>
        </w:tc>
        <w:tc>
          <w:tcPr>
            <w:tcW w:w="3548" w:type="dxa"/>
            <w:shd w:val="clear" w:color="auto" w:fill="FFF5D5"/>
            <w:vAlign w:val="center"/>
          </w:tcPr>
          <w:p w14:paraId="65A89E56" w14:textId="0353F678" w:rsidR="009559D5" w:rsidRPr="005A064D" w:rsidRDefault="000A5B6C" w:rsidP="005A064D">
            <w:pPr>
              <w:rPr>
                <w:b/>
                <w:bCs w:val="0"/>
              </w:rPr>
            </w:pPr>
            <w:sdt>
              <w:sdtPr>
                <w:rPr>
                  <w:color w:val="2B579A"/>
                  <w:shd w:val="clear" w:color="auto" w:fill="E6E6E6"/>
                </w:rPr>
                <w:id w:val="25463819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34848844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64438968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638020A3" w14:textId="77777777" w:rsidTr="009559D5">
        <w:trPr>
          <w:trHeight w:val="720"/>
          <w:jc w:val="center"/>
        </w:trPr>
        <w:tc>
          <w:tcPr>
            <w:tcW w:w="7098" w:type="dxa"/>
            <w:shd w:val="clear" w:color="auto" w:fill="FFF5D5"/>
            <w:vAlign w:val="center"/>
          </w:tcPr>
          <w:p w14:paraId="5DB5A180" w14:textId="77777777" w:rsidR="009559D5" w:rsidRDefault="009559D5" w:rsidP="005A064D">
            <w:r>
              <w:t>Client outside local geography but within Canada, with clear identity and purpose.</w:t>
            </w:r>
          </w:p>
        </w:tc>
        <w:tc>
          <w:tcPr>
            <w:tcW w:w="3548" w:type="dxa"/>
            <w:shd w:val="clear" w:color="auto" w:fill="FFF5D5"/>
            <w:vAlign w:val="center"/>
          </w:tcPr>
          <w:p w14:paraId="1C01A69C" w14:textId="329A7D3D" w:rsidR="009559D5" w:rsidRPr="005A064D" w:rsidRDefault="000A5B6C" w:rsidP="005A064D">
            <w:pPr>
              <w:rPr>
                <w:b/>
                <w:bCs w:val="0"/>
              </w:rPr>
            </w:pPr>
            <w:sdt>
              <w:sdtPr>
                <w:rPr>
                  <w:color w:val="2B579A"/>
                  <w:shd w:val="clear" w:color="auto" w:fill="E6E6E6"/>
                </w:rPr>
                <w:id w:val="131853693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88726224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176066394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r w:rsidR="009559D5" w14:paraId="36800252" w14:textId="77777777" w:rsidTr="009559D5">
        <w:trPr>
          <w:trHeight w:val="720"/>
          <w:jc w:val="center"/>
        </w:trPr>
        <w:tc>
          <w:tcPr>
            <w:tcW w:w="7098" w:type="dxa"/>
            <w:shd w:val="clear" w:color="auto" w:fill="FFF5D5"/>
            <w:vAlign w:val="center"/>
          </w:tcPr>
          <w:p w14:paraId="4570E854" w14:textId="77777777" w:rsidR="009559D5" w:rsidRDefault="009559D5" w:rsidP="005A064D">
            <w:r>
              <w:t xml:space="preserve">Assurance/compilation service with no </w:t>
            </w:r>
            <w:proofErr w:type="gramStart"/>
            <w:r>
              <w:t>funds</w:t>
            </w:r>
            <w:proofErr w:type="gramEnd"/>
            <w:r>
              <w:t xml:space="preserve"> movement, no opaque ownership, and no red flags.</w:t>
            </w:r>
          </w:p>
        </w:tc>
        <w:tc>
          <w:tcPr>
            <w:tcW w:w="3548" w:type="dxa"/>
            <w:shd w:val="clear" w:color="auto" w:fill="FFF5D5"/>
            <w:vAlign w:val="center"/>
          </w:tcPr>
          <w:p w14:paraId="178DB390" w14:textId="220D62F0" w:rsidR="009559D5" w:rsidRPr="005A064D" w:rsidRDefault="000A5B6C" w:rsidP="005A064D">
            <w:pPr>
              <w:rPr>
                <w:b/>
                <w:bCs w:val="0"/>
              </w:rPr>
            </w:pPr>
            <w:sdt>
              <w:sdtPr>
                <w:rPr>
                  <w:color w:val="2B579A"/>
                  <w:shd w:val="clear" w:color="auto" w:fill="E6E6E6"/>
                </w:rPr>
                <w:id w:val="-208529472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40468331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   </w:t>
            </w:r>
            <w:sdt>
              <w:sdtPr>
                <w:rPr>
                  <w:color w:val="2B579A"/>
                  <w:shd w:val="clear" w:color="auto" w:fill="E6E6E6"/>
                </w:rPr>
                <w:id w:val="-207557235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Unknown</w:t>
            </w:r>
          </w:p>
        </w:tc>
      </w:tr>
    </w:tbl>
    <w:p w14:paraId="67E5E066" w14:textId="77777777" w:rsidR="00FC7575" w:rsidRDefault="00FC7575" w:rsidP="00935C44"/>
    <w:p w14:paraId="6566006B" w14:textId="1376874C" w:rsidR="00E17197" w:rsidRDefault="00E17197" w:rsidP="00EA3E7E">
      <w:pPr>
        <w:pStyle w:val="Heading2"/>
        <w:numPr>
          <w:ilvl w:val="0"/>
          <w:numId w:val="14"/>
        </w:numPr>
      </w:pPr>
      <w:r w:rsidRPr="00C90A92">
        <w:t>Client / Engagement Information</w:t>
      </w:r>
    </w:p>
    <w:tbl>
      <w:tblPr>
        <w:tblW w:w="0" w:type="auto"/>
        <w:jc w:val="center"/>
        <w:tblLook w:val="04A0" w:firstRow="1" w:lastRow="0" w:firstColumn="1" w:lastColumn="0" w:noHBand="0" w:noVBand="1"/>
      </w:tblPr>
      <w:tblGrid>
        <w:gridCol w:w="10656"/>
      </w:tblGrid>
      <w:tr w:rsidR="004017FC" w14:paraId="5A307758" w14:textId="77777777" w:rsidTr="004017FC">
        <w:trPr>
          <w:trHeight w:val="1872"/>
          <w:jc w:val="center"/>
        </w:trPr>
        <w:tc>
          <w:tcPr>
            <w:tcW w:w="10656" w:type="dxa"/>
            <w:shd w:val="clear" w:color="auto" w:fill="EEF4FF"/>
            <w:vAlign w:val="center"/>
          </w:tcPr>
          <w:p w14:paraId="1C9D0AB9" w14:textId="77777777" w:rsidR="004017FC" w:rsidRPr="00EA3E7E" w:rsidRDefault="004017FC" w:rsidP="00122AD7">
            <w:r w:rsidRPr="00EA3E7E">
              <w:rPr>
                <w:b/>
                <w:bCs w:val="0"/>
              </w:rPr>
              <w:t>HOW TO USE THIS SECTION</w:t>
            </w:r>
            <w:r>
              <w:rPr>
                <w:b/>
                <w:bCs w:val="0"/>
              </w:rPr>
              <w:t>:</w:t>
            </w:r>
          </w:p>
          <w:p w14:paraId="5229F9CF" w14:textId="77777777" w:rsidR="00FB6D59" w:rsidRDefault="004017FC" w:rsidP="00122AD7">
            <w:pPr>
              <w:pStyle w:val="ListParagraph"/>
              <w:ind w:left="0"/>
            </w:pPr>
            <w:r w:rsidRPr="004017FC">
              <w:t xml:space="preserve">Complete all fields in this section using information obtained from onboarding documents, engagement letters, identification records, ownership documentation, and client discussions. </w:t>
            </w:r>
          </w:p>
          <w:p w14:paraId="4485ADEF" w14:textId="77777777" w:rsidR="00FB6D59" w:rsidRDefault="00FB6D59" w:rsidP="00122AD7">
            <w:pPr>
              <w:pStyle w:val="ListParagraph"/>
              <w:ind w:left="0"/>
            </w:pPr>
          </w:p>
          <w:p w14:paraId="4FB126F5" w14:textId="31A2EB4F" w:rsidR="004017FC" w:rsidRDefault="004017FC" w:rsidP="00FB6D59">
            <w:pPr>
              <w:pStyle w:val="ListParagraph"/>
              <w:ind w:left="0"/>
              <w:jc w:val="center"/>
            </w:pPr>
            <w:r w:rsidRPr="00FB6D59">
              <w:rPr>
                <w:b/>
                <w:bCs w:val="0"/>
              </w:rPr>
              <w:t>This section creates the audit trail supporting the risk assessment and must be completed in full.</w:t>
            </w:r>
          </w:p>
        </w:tc>
      </w:tr>
    </w:tbl>
    <w:p w14:paraId="4A435090" w14:textId="77777777" w:rsidR="00EA3E7E" w:rsidRPr="00EA3E7E" w:rsidRDefault="00EA3E7E" w:rsidP="00EA3E7E">
      <w:pPr>
        <w:pStyle w:val="ListParagraph"/>
      </w:pPr>
    </w:p>
    <w:tbl>
      <w:tblPr>
        <w:tblStyle w:val="TableGrid"/>
        <w:tblW w:w="10954" w:type="dxa"/>
        <w:jc w:val="center"/>
        <w:tblLook w:val="04A0" w:firstRow="1" w:lastRow="0" w:firstColumn="1" w:lastColumn="0" w:noHBand="0" w:noVBand="1"/>
      </w:tblPr>
      <w:tblGrid>
        <w:gridCol w:w="2965"/>
        <w:gridCol w:w="2661"/>
        <w:gridCol w:w="2661"/>
        <w:gridCol w:w="2667"/>
      </w:tblGrid>
      <w:tr w:rsidR="00FB6D59" w14:paraId="32CEF466" w14:textId="77777777" w:rsidTr="00263FC1">
        <w:trPr>
          <w:trHeight w:val="432"/>
          <w:jc w:val="center"/>
        </w:trPr>
        <w:tc>
          <w:tcPr>
            <w:tcW w:w="2965" w:type="dxa"/>
            <w:tcBorders>
              <w:bottom w:val="single" w:sz="4" w:space="0" w:color="FFFFFF" w:themeColor="background1"/>
            </w:tcBorders>
            <w:shd w:val="clear" w:color="auto" w:fill="002060"/>
            <w:vAlign w:val="center"/>
          </w:tcPr>
          <w:p w14:paraId="6120A0CA" w14:textId="14DA2982" w:rsidR="00FB6D59" w:rsidRDefault="00263FC1" w:rsidP="00263FC1">
            <w:r>
              <w:t>Client Legal Name:</w:t>
            </w:r>
          </w:p>
        </w:tc>
        <w:tc>
          <w:tcPr>
            <w:tcW w:w="2661" w:type="dxa"/>
            <w:vAlign w:val="center"/>
          </w:tcPr>
          <w:p w14:paraId="3BC546DD" w14:textId="77777777" w:rsidR="00FB6D59" w:rsidRDefault="00FB6D59" w:rsidP="00263FC1"/>
        </w:tc>
        <w:tc>
          <w:tcPr>
            <w:tcW w:w="2661" w:type="dxa"/>
            <w:tcBorders>
              <w:bottom w:val="single" w:sz="4" w:space="0" w:color="FFFFFF" w:themeColor="background1"/>
            </w:tcBorders>
            <w:shd w:val="clear" w:color="auto" w:fill="002060"/>
            <w:vAlign w:val="center"/>
          </w:tcPr>
          <w:p w14:paraId="1A3C7231" w14:textId="3028205A" w:rsidR="00FB6D59" w:rsidRDefault="00263FC1" w:rsidP="00263FC1">
            <w:r>
              <w:t>IFirm Code:</w:t>
            </w:r>
          </w:p>
        </w:tc>
        <w:tc>
          <w:tcPr>
            <w:tcW w:w="2667" w:type="dxa"/>
            <w:vAlign w:val="center"/>
          </w:tcPr>
          <w:p w14:paraId="1BF5767A" w14:textId="77777777" w:rsidR="00FB6D59" w:rsidRDefault="00FB6D59" w:rsidP="00263FC1"/>
        </w:tc>
      </w:tr>
      <w:tr w:rsidR="00FB6D59" w14:paraId="09442EA7" w14:textId="77777777" w:rsidTr="00B01007">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4882AADF" w14:textId="287C3AE0" w:rsidR="00FB6D59" w:rsidRDefault="00263FC1" w:rsidP="00263FC1">
            <w:r>
              <w:t>Engagement Type:</w:t>
            </w:r>
          </w:p>
        </w:tc>
        <w:tc>
          <w:tcPr>
            <w:tcW w:w="2661" w:type="dxa"/>
            <w:vAlign w:val="center"/>
          </w:tcPr>
          <w:p w14:paraId="57E2013B" w14:textId="77777777" w:rsidR="00FB6D59" w:rsidRDefault="00FB6D59" w:rsidP="00263FC1"/>
        </w:tc>
        <w:tc>
          <w:tcPr>
            <w:tcW w:w="2661" w:type="dxa"/>
            <w:tcBorders>
              <w:top w:val="single" w:sz="4" w:space="0" w:color="FFFFFF" w:themeColor="background1"/>
              <w:bottom w:val="single" w:sz="4" w:space="0" w:color="FFFFFF" w:themeColor="background1"/>
            </w:tcBorders>
            <w:shd w:val="clear" w:color="auto" w:fill="002060"/>
            <w:vAlign w:val="center"/>
          </w:tcPr>
          <w:p w14:paraId="14561492" w14:textId="61F522F6" w:rsidR="00FB6D59" w:rsidRDefault="00263FC1" w:rsidP="00263FC1">
            <w:r>
              <w:t>Engagement Partner:</w:t>
            </w:r>
          </w:p>
        </w:tc>
        <w:tc>
          <w:tcPr>
            <w:tcW w:w="2667" w:type="dxa"/>
            <w:vAlign w:val="center"/>
          </w:tcPr>
          <w:p w14:paraId="455FDA3D" w14:textId="77777777" w:rsidR="00FB6D59" w:rsidRDefault="00FB6D59" w:rsidP="00263FC1"/>
        </w:tc>
      </w:tr>
      <w:tr w:rsidR="00E94833" w14:paraId="0D8BC7B2" w14:textId="77777777" w:rsidTr="00B01007">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17BE8401" w14:textId="40FEFC20" w:rsidR="00E94833" w:rsidRDefault="00E94833" w:rsidP="00E94833">
            <w:r w:rsidRPr="00263FC1">
              <w:t>Date Relationship Started</w:t>
            </w:r>
            <w:r>
              <w:t>:</w:t>
            </w:r>
          </w:p>
        </w:tc>
        <w:tc>
          <w:tcPr>
            <w:tcW w:w="2661" w:type="dxa"/>
            <w:vAlign w:val="center"/>
          </w:tcPr>
          <w:p w14:paraId="02DACAD9" w14:textId="77777777" w:rsidR="00E94833" w:rsidRDefault="00E94833" w:rsidP="00E94833"/>
        </w:tc>
        <w:tc>
          <w:tcPr>
            <w:tcW w:w="2661" w:type="dxa"/>
            <w:tcBorders>
              <w:top w:val="single" w:sz="4" w:space="0" w:color="FFFFFF" w:themeColor="background1"/>
              <w:bottom w:val="single" w:sz="4" w:space="0" w:color="FFFFFF" w:themeColor="background1"/>
            </w:tcBorders>
            <w:shd w:val="clear" w:color="auto" w:fill="002060"/>
            <w:vAlign w:val="center"/>
          </w:tcPr>
          <w:p w14:paraId="3F90ACAF" w14:textId="77777777" w:rsidR="00E94833" w:rsidRDefault="00E94833" w:rsidP="00E94833">
            <w:r>
              <w:t>In-Person/ /Virtual/</w:t>
            </w:r>
          </w:p>
          <w:p w14:paraId="1EA487F4" w14:textId="2C3D9915" w:rsidR="00E94833" w:rsidRDefault="00E94833" w:rsidP="00E94833">
            <w:r>
              <w:t>Telephone /Email Only Relationship:</w:t>
            </w:r>
          </w:p>
        </w:tc>
        <w:tc>
          <w:tcPr>
            <w:tcW w:w="2667" w:type="dxa"/>
            <w:vAlign w:val="center"/>
          </w:tcPr>
          <w:p w14:paraId="29005A0F" w14:textId="77777777" w:rsidR="00E94833" w:rsidRDefault="00E94833" w:rsidP="00E94833"/>
        </w:tc>
      </w:tr>
      <w:tr w:rsidR="000A5B6C" w14:paraId="7430F500" w14:textId="77777777" w:rsidTr="006608E3">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4678ADC3" w14:textId="7BCE15EE" w:rsidR="000A5B6C" w:rsidRDefault="000A5B6C" w:rsidP="000A5B6C">
            <w:r>
              <w:lastRenderedPageBreak/>
              <w:t>Individual / Corporation / Trust / Partnership / Other:</w:t>
            </w:r>
          </w:p>
        </w:tc>
        <w:tc>
          <w:tcPr>
            <w:tcW w:w="2661" w:type="dxa"/>
            <w:vAlign w:val="center"/>
          </w:tcPr>
          <w:p w14:paraId="1EAEF13A" w14:textId="77777777" w:rsidR="000A5B6C" w:rsidRDefault="000A5B6C" w:rsidP="000A5B6C"/>
        </w:tc>
        <w:tc>
          <w:tcPr>
            <w:tcW w:w="2661" w:type="dxa"/>
            <w:tcBorders>
              <w:top w:val="single" w:sz="4" w:space="0" w:color="FFFFFF" w:themeColor="background1"/>
              <w:bottom w:val="single" w:sz="4" w:space="0" w:color="FFFFFF" w:themeColor="background1"/>
            </w:tcBorders>
            <w:shd w:val="clear" w:color="auto" w:fill="002060"/>
            <w:vAlign w:val="center"/>
          </w:tcPr>
          <w:p w14:paraId="3868FA50" w14:textId="1A61ED03" w:rsidR="000A5B6C" w:rsidRDefault="000A5B6C" w:rsidP="000A5B6C">
            <w:r>
              <w:t xml:space="preserve">US Resident? </w:t>
            </w:r>
          </w:p>
        </w:tc>
        <w:tc>
          <w:tcPr>
            <w:tcW w:w="2667" w:type="dxa"/>
            <w:vAlign w:val="center"/>
          </w:tcPr>
          <w:p w14:paraId="2E57AA67" w14:textId="48D7FC29" w:rsidR="000A5B6C" w:rsidRDefault="000A5B6C" w:rsidP="000A5B6C">
            <w:sdt>
              <w:sdtPr>
                <w:rPr>
                  <w:color w:val="2B579A"/>
                  <w:shd w:val="clear" w:color="auto" w:fill="E6E6E6"/>
                </w:rPr>
                <w:id w:val="110538694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844652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608C8A2B" w14:textId="77777777" w:rsidTr="006608E3">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1533FB10" w14:textId="755A2410" w:rsidR="000A5B6C" w:rsidRDefault="000A5B6C" w:rsidP="000A5B6C">
            <w:r>
              <w:t xml:space="preserve">Canadian Resident? </w:t>
            </w:r>
          </w:p>
        </w:tc>
        <w:tc>
          <w:tcPr>
            <w:tcW w:w="2661" w:type="dxa"/>
            <w:vAlign w:val="center"/>
          </w:tcPr>
          <w:p w14:paraId="0633443F" w14:textId="200D4449" w:rsidR="000A5B6C" w:rsidRDefault="000A5B6C" w:rsidP="000A5B6C">
            <w:sdt>
              <w:sdtPr>
                <w:rPr>
                  <w:color w:val="2B579A"/>
                  <w:shd w:val="clear" w:color="auto" w:fill="E6E6E6"/>
                </w:rPr>
                <w:id w:val="187920168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5848159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c>
          <w:tcPr>
            <w:tcW w:w="2661" w:type="dxa"/>
            <w:tcBorders>
              <w:top w:val="single" w:sz="4" w:space="0" w:color="FFFFFF" w:themeColor="background1"/>
              <w:bottom w:val="single" w:sz="4" w:space="0" w:color="FFFFFF" w:themeColor="background1"/>
            </w:tcBorders>
            <w:shd w:val="clear" w:color="auto" w:fill="002060"/>
            <w:vAlign w:val="center"/>
          </w:tcPr>
          <w:p w14:paraId="77CDD789" w14:textId="7FA6ED08" w:rsidR="000A5B6C" w:rsidRDefault="000A5B6C" w:rsidP="000A5B6C">
            <w:r>
              <w:t>Outside Canada?</w:t>
            </w:r>
          </w:p>
        </w:tc>
        <w:tc>
          <w:tcPr>
            <w:tcW w:w="2667" w:type="dxa"/>
            <w:vAlign w:val="center"/>
          </w:tcPr>
          <w:p w14:paraId="2ED29AE2" w14:textId="3AE78078" w:rsidR="000A5B6C" w:rsidRDefault="000A5B6C" w:rsidP="000A5B6C">
            <w:sdt>
              <w:sdtPr>
                <w:rPr>
                  <w:color w:val="2B579A"/>
                  <w:shd w:val="clear" w:color="auto" w:fill="E6E6E6"/>
                </w:rPr>
                <w:id w:val="-113355213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98266278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E94833" w14:paraId="55D174C9" w14:textId="77777777" w:rsidTr="00B01007">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0A9D8B0F" w14:textId="7711CB66" w:rsidR="00E94833" w:rsidRDefault="00E94833" w:rsidP="00E94833">
            <w:r>
              <w:t>Related Entities/Family Group:</w:t>
            </w:r>
          </w:p>
        </w:tc>
        <w:tc>
          <w:tcPr>
            <w:tcW w:w="2661" w:type="dxa"/>
            <w:vAlign w:val="center"/>
          </w:tcPr>
          <w:p w14:paraId="58EC8674" w14:textId="77777777" w:rsidR="00E94833" w:rsidRDefault="00E94833" w:rsidP="00E94833"/>
        </w:tc>
        <w:tc>
          <w:tcPr>
            <w:tcW w:w="2661" w:type="dxa"/>
            <w:tcBorders>
              <w:top w:val="single" w:sz="4" w:space="0" w:color="FFFFFF" w:themeColor="background1"/>
              <w:bottom w:val="single" w:sz="4" w:space="0" w:color="FFFFFF" w:themeColor="background1"/>
            </w:tcBorders>
            <w:shd w:val="clear" w:color="auto" w:fill="002060"/>
            <w:vAlign w:val="center"/>
          </w:tcPr>
          <w:p w14:paraId="04EEFF57" w14:textId="46658D05" w:rsidR="00E94833" w:rsidRDefault="00E94833" w:rsidP="00E94833">
            <w:r>
              <w:t>PEP/HIO Status:</w:t>
            </w:r>
          </w:p>
        </w:tc>
        <w:tc>
          <w:tcPr>
            <w:tcW w:w="2667" w:type="dxa"/>
            <w:vAlign w:val="center"/>
          </w:tcPr>
          <w:p w14:paraId="5FC64EFF" w14:textId="77777777" w:rsidR="00E94833" w:rsidRDefault="00E94833" w:rsidP="00E94833"/>
        </w:tc>
      </w:tr>
      <w:tr w:rsidR="000A5B6C" w14:paraId="3CB436F4" w14:textId="77777777" w:rsidTr="00B01007">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5F7A2F4A" w14:textId="491164DF" w:rsidR="000A5B6C" w:rsidRDefault="000A5B6C" w:rsidP="000A5B6C">
            <w:r>
              <w:t xml:space="preserve">Outside Ontario? </w:t>
            </w:r>
          </w:p>
        </w:tc>
        <w:tc>
          <w:tcPr>
            <w:tcW w:w="2661" w:type="dxa"/>
            <w:vAlign w:val="center"/>
          </w:tcPr>
          <w:p w14:paraId="6D7515C7" w14:textId="5C3C97C7" w:rsidR="000A5B6C" w:rsidRDefault="000A5B6C" w:rsidP="000A5B6C">
            <w:sdt>
              <w:sdtPr>
                <w:rPr>
                  <w:color w:val="2B579A"/>
                  <w:shd w:val="clear" w:color="auto" w:fill="E6E6E6"/>
                </w:rPr>
                <w:id w:val="92584509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20024200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c>
          <w:tcPr>
            <w:tcW w:w="2661" w:type="dxa"/>
            <w:tcBorders>
              <w:top w:val="single" w:sz="4" w:space="0" w:color="FFFFFF" w:themeColor="background1"/>
              <w:bottom w:val="single" w:sz="4" w:space="0" w:color="FFFFFF" w:themeColor="background1"/>
            </w:tcBorders>
            <w:shd w:val="clear" w:color="auto" w:fill="002060"/>
            <w:vAlign w:val="center"/>
          </w:tcPr>
          <w:p w14:paraId="3FD162B6" w14:textId="2C754BB6" w:rsidR="000A5B6C" w:rsidRDefault="000A5B6C" w:rsidP="000A5B6C">
            <w:sdt>
              <w:sdtPr>
                <w:rPr>
                  <w:color w:val="2B579A"/>
                  <w:shd w:val="clear" w:color="auto" w:fill="E6E6E6"/>
                </w:rPr>
                <w:id w:val="-122536941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69438368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c>
          <w:tcPr>
            <w:tcW w:w="2667" w:type="dxa"/>
            <w:vAlign w:val="center"/>
          </w:tcPr>
          <w:p w14:paraId="5EC4BDDA" w14:textId="5C12E22B" w:rsidR="000A5B6C" w:rsidRDefault="000A5B6C" w:rsidP="000A5B6C">
            <w:sdt>
              <w:sdtPr>
                <w:rPr>
                  <w:color w:val="2B579A"/>
                  <w:shd w:val="clear" w:color="auto" w:fill="E6E6E6"/>
                </w:rPr>
                <w:id w:val="-209076401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92633632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2213209F" w14:textId="77777777" w:rsidTr="008C399F">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1B58A8FF" w14:textId="6FDC3629" w:rsidR="000A5B6C" w:rsidRDefault="000A5B6C" w:rsidP="000A5B6C">
            <w:r>
              <w:t>Beneficial Ownership Status:</w:t>
            </w:r>
          </w:p>
        </w:tc>
        <w:tc>
          <w:tcPr>
            <w:tcW w:w="2661" w:type="dxa"/>
            <w:vAlign w:val="center"/>
          </w:tcPr>
          <w:p w14:paraId="3357F8EF" w14:textId="77777777" w:rsidR="000A5B6C" w:rsidRDefault="000A5B6C" w:rsidP="000A5B6C"/>
        </w:tc>
        <w:tc>
          <w:tcPr>
            <w:tcW w:w="2661" w:type="dxa"/>
            <w:tcBorders>
              <w:top w:val="single" w:sz="4" w:space="0" w:color="FFFFFF" w:themeColor="background1"/>
              <w:bottom w:val="single" w:sz="4" w:space="0" w:color="FFFFFF" w:themeColor="background1"/>
            </w:tcBorders>
            <w:shd w:val="clear" w:color="auto" w:fill="002060"/>
            <w:vAlign w:val="center"/>
          </w:tcPr>
          <w:p w14:paraId="50F5A870" w14:textId="6D44167F" w:rsidR="000A5B6C" w:rsidRDefault="000A5B6C" w:rsidP="000A5B6C">
            <w:r w:rsidRPr="00263FC1">
              <w:t xml:space="preserve">Source Of Funds Reviewed? </w:t>
            </w:r>
          </w:p>
        </w:tc>
        <w:tc>
          <w:tcPr>
            <w:tcW w:w="2667" w:type="dxa"/>
            <w:vAlign w:val="center"/>
          </w:tcPr>
          <w:p w14:paraId="7B4BB2B1" w14:textId="76E83D44" w:rsidR="000A5B6C" w:rsidRDefault="000A5B6C" w:rsidP="000A5B6C">
            <w:sdt>
              <w:sdtPr>
                <w:rPr>
                  <w:color w:val="2B579A"/>
                  <w:shd w:val="clear" w:color="auto" w:fill="E6E6E6"/>
                </w:rPr>
                <w:id w:val="-192895903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6780495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4B5E07A2" w14:textId="77777777" w:rsidTr="008C399F">
        <w:trPr>
          <w:trHeight w:val="432"/>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52D73207" w14:textId="7FD53975" w:rsidR="000A5B6C" w:rsidRDefault="000A5B6C" w:rsidP="000A5B6C">
            <w:r>
              <w:t>Sanctions/Listed Person Check:</w:t>
            </w:r>
          </w:p>
        </w:tc>
        <w:tc>
          <w:tcPr>
            <w:tcW w:w="2661" w:type="dxa"/>
            <w:vAlign w:val="center"/>
          </w:tcPr>
          <w:p w14:paraId="24A70E36" w14:textId="77777777" w:rsidR="000A5B6C" w:rsidRDefault="000A5B6C" w:rsidP="000A5B6C"/>
        </w:tc>
        <w:tc>
          <w:tcPr>
            <w:tcW w:w="2661" w:type="dxa"/>
            <w:tcBorders>
              <w:top w:val="single" w:sz="4" w:space="0" w:color="FFFFFF" w:themeColor="background1"/>
              <w:bottom w:val="single" w:sz="4" w:space="0" w:color="FFFFFF" w:themeColor="background1"/>
            </w:tcBorders>
            <w:shd w:val="clear" w:color="auto" w:fill="002060"/>
            <w:vAlign w:val="center"/>
          </w:tcPr>
          <w:p w14:paraId="37D8F506" w14:textId="01E2FD9A" w:rsidR="000A5B6C" w:rsidRDefault="000A5B6C" w:rsidP="000A5B6C">
            <w:r>
              <w:t>Risk Rating:</w:t>
            </w:r>
          </w:p>
        </w:tc>
        <w:tc>
          <w:tcPr>
            <w:tcW w:w="2667" w:type="dxa"/>
            <w:vAlign w:val="center"/>
          </w:tcPr>
          <w:p w14:paraId="330A7F20" w14:textId="15487BEC" w:rsidR="000A5B6C" w:rsidRDefault="000A5B6C" w:rsidP="000A5B6C">
            <w:sdt>
              <w:sdtPr>
                <w:rPr>
                  <w:color w:val="2B579A"/>
                  <w:shd w:val="clear" w:color="auto" w:fill="E6E6E6"/>
                </w:rPr>
                <w:id w:val="-130592408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DC31C4">
              <w:t xml:space="preserve"> Minimal / N/A</w:t>
            </w:r>
            <w:r>
              <w:t xml:space="preserve">     </w:t>
            </w:r>
            <w:r w:rsidRPr="00DC31C4">
              <w:t xml:space="preserve"> </w:t>
            </w:r>
            <w:sdt>
              <w:sdtPr>
                <w:rPr>
                  <w:color w:val="2B579A"/>
                  <w:shd w:val="clear" w:color="auto" w:fill="E6E6E6"/>
                </w:rPr>
                <w:id w:val="32655942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DC31C4">
              <w:t>Low</w:t>
            </w:r>
          </w:p>
          <w:p w14:paraId="200FB942" w14:textId="10DD4FBB" w:rsidR="000A5B6C" w:rsidRDefault="000A5B6C" w:rsidP="000A5B6C">
            <w:sdt>
              <w:sdtPr>
                <w:rPr>
                  <w:color w:val="2B579A"/>
                  <w:shd w:val="clear" w:color="auto" w:fill="E6E6E6"/>
                </w:rPr>
                <w:id w:val="-79420760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DC31C4">
              <w:t xml:space="preserve">Medium </w:t>
            </w:r>
            <w:r>
              <w:t xml:space="preserve">               </w:t>
            </w:r>
            <w:sdt>
              <w:sdtPr>
                <w:rPr>
                  <w:color w:val="2B579A"/>
                  <w:shd w:val="clear" w:color="auto" w:fill="E6E6E6"/>
                </w:rPr>
                <w:id w:val="-49141168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w:t>
            </w:r>
            <w:r w:rsidRPr="00DC31C4">
              <w:t>High</w:t>
            </w:r>
          </w:p>
          <w:p w14:paraId="193CC4FE" w14:textId="2A11D8EA" w:rsidR="000A5B6C" w:rsidRDefault="000A5B6C" w:rsidP="000A5B6C">
            <w:sdt>
              <w:sdtPr>
                <w:rPr>
                  <w:color w:val="2B579A"/>
                  <w:shd w:val="clear" w:color="auto" w:fill="E6E6E6"/>
                </w:rPr>
                <w:id w:val="71685882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DC31C4">
              <w:t>Pending Review</w:t>
            </w:r>
          </w:p>
        </w:tc>
      </w:tr>
      <w:tr w:rsidR="000A5B6C" w14:paraId="2CC123D0" w14:textId="77777777" w:rsidTr="00B01007">
        <w:trPr>
          <w:trHeight w:val="665"/>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7157B701" w14:textId="3B2AE2AC" w:rsidR="000A5B6C" w:rsidRDefault="000A5B6C" w:rsidP="000A5B6C">
            <w:r>
              <w:t xml:space="preserve">Verification Status Complete? </w:t>
            </w:r>
          </w:p>
        </w:tc>
        <w:tc>
          <w:tcPr>
            <w:tcW w:w="2661" w:type="dxa"/>
            <w:vAlign w:val="center"/>
          </w:tcPr>
          <w:p w14:paraId="4D148372" w14:textId="477559C8" w:rsidR="000A5B6C" w:rsidRDefault="000A5B6C" w:rsidP="000A5B6C">
            <w:sdt>
              <w:sdtPr>
                <w:rPr>
                  <w:color w:val="2B579A"/>
                  <w:shd w:val="clear" w:color="auto" w:fill="E6E6E6"/>
                </w:rPr>
                <w:id w:val="-13395995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43713857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c>
          <w:tcPr>
            <w:tcW w:w="2661" w:type="dxa"/>
            <w:tcBorders>
              <w:top w:val="single" w:sz="4" w:space="0" w:color="FFFFFF" w:themeColor="background1"/>
            </w:tcBorders>
            <w:shd w:val="clear" w:color="auto" w:fill="002060"/>
            <w:vAlign w:val="center"/>
          </w:tcPr>
          <w:p w14:paraId="27037D6A" w14:textId="793968EA" w:rsidR="000A5B6C" w:rsidRDefault="000A5B6C" w:rsidP="000A5B6C">
            <w:r>
              <w:t xml:space="preserve">Next Review Date </w:t>
            </w:r>
            <w:r w:rsidRPr="00A87A23">
              <w:rPr>
                <w:i/>
                <w:iCs/>
                <w:sz w:val="20"/>
                <w:szCs w:val="20"/>
              </w:rPr>
              <w:t>(please refer to the Risk Manual)</w:t>
            </w:r>
            <w:r>
              <w:t>:</w:t>
            </w:r>
          </w:p>
        </w:tc>
        <w:tc>
          <w:tcPr>
            <w:tcW w:w="2667" w:type="dxa"/>
            <w:vAlign w:val="center"/>
          </w:tcPr>
          <w:p w14:paraId="4BEF0C8C" w14:textId="77777777" w:rsidR="000A5B6C" w:rsidRDefault="000A5B6C" w:rsidP="000A5B6C"/>
        </w:tc>
      </w:tr>
      <w:tr w:rsidR="000A5B6C" w14:paraId="69D2EFA1" w14:textId="77777777" w:rsidTr="008C399F">
        <w:trPr>
          <w:trHeight w:val="864"/>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7F7904D5" w14:textId="76C5C728" w:rsidR="000A5B6C" w:rsidRPr="00B01007" w:rsidRDefault="000A5B6C" w:rsidP="000A5B6C">
            <w:pPr>
              <w:rPr>
                <w:bCs w:val="0"/>
              </w:rPr>
            </w:pPr>
            <w:r w:rsidRPr="00B01007">
              <w:rPr>
                <w:bCs w:val="0"/>
              </w:rPr>
              <w:t>Why was this risk classification selected?</w:t>
            </w:r>
          </w:p>
        </w:tc>
        <w:tc>
          <w:tcPr>
            <w:tcW w:w="7989" w:type="dxa"/>
            <w:gridSpan w:val="3"/>
          </w:tcPr>
          <w:p w14:paraId="4EFA0D09" w14:textId="3A44E103" w:rsidR="000A5B6C" w:rsidRPr="00E94833" w:rsidRDefault="000A5B6C" w:rsidP="000A5B6C">
            <w:pPr>
              <w:rPr>
                <w:b/>
                <w:bCs w:val="0"/>
              </w:rPr>
            </w:pPr>
          </w:p>
        </w:tc>
      </w:tr>
      <w:tr w:rsidR="000A5B6C" w14:paraId="34E9F184" w14:textId="77777777" w:rsidTr="008C399F">
        <w:trPr>
          <w:trHeight w:val="864"/>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72336F61" w14:textId="39BC0F97" w:rsidR="000A5B6C" w:rsidRPr="00B01007" w:rsidRDefault="000A5B6C" w:rsidP="000A5B6C">
            <w:pPr>
              <w:rPr>
                <w:bCs w:val="0"/>
              </w:rPr>
            </w:pPr>
            <w:r w:rsidRPr="00B01007">
              <w:rPr>
                <w:bCs w:val="0"/>
              </w:rPr>
              <w:t>Why was a lower classification not appropriate?</w:t>
            </w:r>
          </w:p>
        </w:tc>
        <w:tc>
          <w:tcPr>
            <w:tcW w:w="7989" w:type="dxa"/>
            <w:gridSpan w:val="3"/>
          </w:tcPr>
          <w:p w14:paraId="75CC2D12" w14:textId="110B1BBA" w:rsidR="000A5B6C" w:rsidRPr="00E94833" w:rsidRDefault="000A5B6C" w:rsidP="000A5B6C">
            <w:pPr>
              <w:rPr>
                <w:b/>
                <w:bCs w:val="0"/>
              </w:rPr>
            </w:pPr>
          </w:p>
        </w:tc>
      </w:tr>
      <w:tr w:rsidR="000A5B6C" w14:paraId="60C32531" w14:textId="77777777" w:rsidTr="008C399F">
        <w:trPr>
          <w:trHeight w:val="864"/>
          <w:jc w:val="center"/>
        </w:trPr>
        <w:tc>
          <w:tcPr>
            <w:tcW w:w="2965" w:type="dxa"/>
            <w:tcBorders>
              <w:top w:val="single" w:sz="4" w:space="0" w:color="FFFFFF" w:themeColor="background1"/>
              <w:bottom w:val="single" w:sz="4" w:space="0" w:color="FFFFFF" w:themeColor="background1"/>
            </w:tcBorders>
            <w:shd w:val="clear" w:color="auto" w:fill="002060"/>
            <w:vAlign w:val="center"/>
          </w:tcPr>
          <w:p w14:paraId="04DC4336" w14:textId="2340C7A0" w:rsidR="000A5B6C" w:rsidRPr="00B01007" w:rsidRDefault="000A5B6C" w:rsidP="000A5B6C">
            <w:pPr>
              <w:rPr>
                <w:bCs w:val="0"/>
              </w:rPr>
            </w:pPr>
            <w:r w:rsidRPr="00B01007">
              <w:rPr>
                <w:bCs w:val="0"/>
              </w:rPr>
              <w:t>Why was a higher classification not required?</w:t>
            </w:r>
          </w:p>
        </w:tc>
        <w:tc>
          <w:tcPr>
            <w:tcW w:w="7989" w:type="dxa"/>
            <w:gridSpan w:val="3"/>
          </w:tcPr>
          <w:p w14:paraId="0DE3370A" w14:textId="3302935E" w:rsidR="000A5B6C" w:rsidRPr="00E94833" w:rsidRDefault="000A5B6C" w:rsidP="000A5B6C">
            <w:pPr>
              <w:rPr>
                <w:b/>
                <w:bCs w:val="0"/>
              </w:rPr>
            </w:pPr>
          </w:p>
        </w:tc>
      </w:tr>
      <w:tr w:rsidR="000A5B6C" w14:paraId="184733DF" w14:textId="77777777" w:rsidTr="008C399F">
        <w:trPr>
          <w:trHeight w:val="864"/>
          <w:jc w:val="center"/>
        </w:trPr>
        <w:tc>
          <w:tcPr>
            <w:tcW w:w="2965" w:type="dxa"/>
            <w:tcBorders>
              <w:top w:val="single" w:sz="4" w:space="0" w:color="FFFFFF" w:themeColor="background1"/>
            </w:tcBorders>
            <w:shd w:val="clear" w:color="auto" w:fill="002060"/>
            <w:vAlign w:val="center"/>
          </w:tcPr>
          <w:p w14:paraId="766C4792" w14:textId="062C727A" w:rsidR="000A5B6C" w:rsidRPr="00B01007" w:rsidRDefault="000A5B6C" w:rsidP="000A5B6C">
            <w:pPr>
              <w:rPr>
                <w:bCs w:val="0"/>
              </w:rPr>
            </w:pPr>
            <w:r w:rsidRPr="00B01007">
              <w:rPr>
                <w:bCs w:val="0"/>
              </w:rPr>
              <w:t>Were any Unknown responses considered?</w:t>
            </w:r>
          </w:p>
        </w:tc>
        <w:tc>
          <w:tcPr>
            <w:tcW w:w="7989" w:type="dxa"/>
            <w:gridSpan w:val="3"/>
            <w:vAlign w:val="center"/>
          </w:tcPr>
          <w:p w14:paraId="3976A93C" w14:textId="705C06C3" w:rsidR="000A5B6C" w:rsidRPr="00E94833" w:rsidRDefault="000A5B6C" w:rsidP="000A5B6C">
            <w:pPr>
              <w:rPr>
                <w:b/>
                <w:bCs w:val="0"/>
              </w:rPr>
            </w:pPr>
            <w:sdt>
              <w:sdtPr>
                <w:rPr>
                  <w:color w:val="2B579A"/>
                  <w:shd w:val="clear" w:color="auto" w:fill="E6E6E6"/>
                </w:rPr>
                <w:id w:val="72094420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93211738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03F61AA7" w14:textId="77777777" w:rsidTr="008C399F">
        <w:trPr>
          <w:trHeight w:val="864"/>
          <w:jc w:val="center"/>
        </w:trPr>
        <w:tc>
          <w:tcPr>
            <w:tcW w:w="2965" w:type="dxa"/>
            <w:tcBorders>
              <w:bottom w:val="single" w:sz="4" w:space="0" w:color="FFFFFF" w:themeColor="background1"/>
            </w:tcBorders>
            <w:shd w:val="clear" w:color="auto" w:fill="002060"/>
            <w:vAlign w:val="center"/>
          </w:tcPr>
          <w:p w14:paraId="6DC9E664" w14:textId="7E82E425" w:rsidR="000A5B6C" w:rsidRPr="00B01007" w:rsidRDefault="000A5B6C" w:rsidP="000A5B6C">
            <w:pPr>
              <w:rPr>
                <w:bCs w:val="0"/>
              </w:rPr>
            </w:pPr>
            <w:r w:rsidRPr="00B01007">
              <w:rPr>
                <w:bCs w:val="0"/>
              </w:rPr>
              <w:t>Was escalation required?</w:t>
            </w:r>
          </w:p>
        </w:tc>
        <w:tc>
          <w:tcPr>
            <w:tcW w:w="7989" w:type="dxa"/>
            <w:gridSpan w:val="3"/>
            <w:vAlign w:val="center"/>
          </w:tcPr>
          <w:p w14:paraId="7E9DBA04" w14:textId="3D5ACAB6" w:rsidR="000A5B6C" w:rsidRPr="00E94833" w:rsidRDefault="000A5B6C" w:rsidP="000A5B6C">
            <w:pPr>
              <w:rPr>
                <w:b/>
                <w:bCs w:val="0"/>
              </w:rPr>
            </w:pPr>
            <w:sdt>
              <w:sdtPr>
                <w:rPr>
                  <w:color w:val="2B579A"/>
                  <w:shd w:val="clear" w:color="auto" w:fill="E6E6E6"/>
                </w:rPr>
                <w:id w:val="-110318776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09513926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423FF69A" w14:textId="77777777" w:rsidTr="008C399F">
        <w:trPr>
          <w:trHeight w:val="864"/>
          <w:jc w:val="center"/>
        </w:trPr>
        <w:tc>
          <w:tcPr>
            <w:tcW w:w="2965" w:type="dxa"/>
            <w:tcBorders>
              <w:top w:val="single" w:sz="4" w:space="0" w:color="FFFFFF" w:themeColor="background1"/>
            </w:tcBorders>
            <w:shd w:val="clear" w:color="auto" w:fill="002060"/>
            <w:vAlign w:val="center"/>
          </w:tcPr>
          <w:p w14:paraId="7D809C78" w14:textId="3A340D8A" w:rsidR="000A5B6C" w:rsidRPr="00B01007" w:rsidRDefault="000A5B6C" w:rsidP="000A5B6C">
            <w:pPr>
              <w:rPr>
                <w:bCs w:val="0"/>
              </w:rPr>
            </w:pPr>
            <w:r w:rsidRPr="00B01007">
              <w:rPr>
                <w:bCs w:val="0"/>
              </w:rPr>
              <w:t>Was EDD required?</w:t>
            </w:r>
          </w:p>
        </w:tc>
        <w:tc>
          <w:tcPr>
            <w:tcW w:w="7989" w:type="dxa"/>
            <w:gridSpan w:val="3"/>
            <w:vAlign w:val="center"/>
          </w:tcPr>
          <w:p w14:paraId="13691B10" w14:textId="65317A81" w:rsidR="000A5B6C" w:rsidRPr="00E94833" w:rsidRDefault="000A5B6C" w:rsidP="000A5B6C">
            <w:pPr>
              <w:rPr>
                <w:b/>
                <w:bCs w:val="0"/>
              </w:rPr>
            </w:pPr>
            <w:sdt>
              <w:sdtPr>
                <w:rPr>
                  <w:color w:val="2B579A"/>
                  <w:shd w:val="clear" w:color="auto" w:fill="E6E6E6"/>
                </w:rPr>
                <w:id w:val="1818920190"/>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Yes   </w:t>
            </w:r>
            <w:sdt>
              <w:sdtPr>
                <w:rPr>
                  <w:color w:val="2B579A"/>
                  <w:shd w:val="clear" w:color="auto" w:fill="E6E6E6"/>
                </w:rPr>
                <w:id w:val="155534509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Pr="0073658C">
              <w:rPr>
                <w:b/>
                <w:bCs w:val="0"/>
              </w:rPr>
              <w:t xml:space="preserve"> No</w:t>
            </w:r>
          </w:p>
        </w:tc>
      </w:tr>
      <w:tr w:rsidR="000A5B6C" w14:paraId="27CE112A" w14:textId="77777777" w:rsidTr="00FB6D59">
        <w:trPr>
          <w:jc w:val="center"/>
        </w:trPr>
        <w:tc>
          <w:tcPr>
            <w:tcW w:w="10954" w:type="dxa"/>
            <w:gridSpan w:val="4"/>
          </w:tcPr>
          <w:p w14:paraId="4D3B59D6" w14:textId="2CE6007D" w:rsidR="000A5B6C" w:rsidRPr="00E94833" w:rsidRDefault="000A5B6C" w:rsidP="000A5B6C">
            <w:pPr>
              <w:rPr>
                <w:b/>
                <w:bCs w:val="0"/>
              </w:rPr>
            </w:pPr>
            <w:r w:rsidRPr="00E94833">
              <w:rPr>
                <w:b/>
                <w:bCs w:val="0"/>
              </w:rPr>
              <w:t>Notes / Rationale:</w:t>
            </w:r>
          </w:p>
          <w:p w14:paraId="78F232DE" w14:textId="77777777" w:rsidR="000A5B6C" w:rsidRDefault="000A5B6C" w:rsidP="000A5B6C"/>
          <w:p w14:paraId="63A47F98" w14:textId="77777777" w:rsidR="000A5B6C" w:rsidRDefault="000A5B6C" w:rsidP="000A5B6C"/>
          <w:p w14:paraId="2FD424FE" w14:textId="77777777" w:rsidR="000A5B6C" w:rsidRDefault="000A5B6C" w:rsidP="000A5B6C"/>
          <w:p w14:paraId="551FFEA6" w14:textId="77777777" w:rsidR="000A5B6C" w:rsidRDefault="000A5B6C" w:rsidP="000A5B6C"/>
          <w:p w14:paraId="50A17159" w14:textId="77777777" w:rsidR="000A5B6C" w:rsidRDefault="000A5B6C" w:rsidP="000A5B6C"/>
          <w:p w14:paraId="5C865093" w14:textId="77777777" w:rsidR="000A5B6C" w:rsidRDefault="000A5B6C" w:rsidP="000A5B6C"/>
        </w:tc>
      </w:tr>
    </w:tbl>
    <w:p w14:paraId="20BE8235" w14:textId="472B4DE4" w:rsidR="0065697D" w:rsidRDefault="0065697D" w:rsidP="0065697D">
      <w:pPr>
        <w:pStyle w:val="Heading2"/>
        <w:ind w:left="720"/>
      </w:pPr>
    </w:p>
    <w:p w14:paraId="635806F5" w14:textId="77777777" w:rsidR="0065697D" w:rsidRDefault="0065697D">
      <w:pPr>
        <w:rPr>
          <w:rFonts w:asciiTheme="majorHAnsi" w:hAnsiTheme="majorHAnsi"/>
          <w:b/>
          <w:bCs w:val="0"/>
          <w:color w:val="273276" w:themeColor="accent2"/>
          <w:sz w:val="32"/>
          <w:szCs w:val="32"/>
        </w:rPr>
      </w:pPr>
      <w:r>
        <w:br w:type="page"/>
      </w:r>
    </w:p>
    <w:p w14:paraId="5582DBC8" w14:textId="1BDDA2E2" w:rsidR="004017FC" w:rsidRDefault="004017FC" w:rsidP="004017FC">
      <w:pPr>
        <w:pStyle w:val="Heading2"/>
        <w:numPr>
          <w:ilvl w:val="0"/>
          <w:numId w:val="14"/>
        </w:numPr>
      </w:pPr>
      <w:r>
        <w:lastRenderedPageBreak/>
        <w:t>Beneficial Ownership, Control and Relationship Purpose</w:t>
      </w:r>
    </w:p>
    <w:tbl>
      <w:tblPr>
        <w:tblW w:w="0" w:type="auto"/>
        <w:jc w:val="center"/>
        <w:tblLook w:val="04A0" w:firstRow="1" w:lastRow="0" w:firstColumn="1" w:lastColumn="0" w:noHBand="0" w:noVBand="1"/>
      </w:tblPr>
      <w:tblGrid>
        <w:gridCol w:w="10656"/>
      </w:tblGrid>
      <w:tr w:rsidR="004017FC" w14:paraId="7594BBEA" w14:textId="77777777" w:rsidTr="00122AD7">
        <w:trPr>
          <w:jc w:val="center"/>
        </w:trPr>
        <w:tc>
          <w:tcPr>
            <w:tcW w:w="10656" w:type="dxa"/>
            <w:shd w:val="clear" w:color="auto" w:fill="EEF4FF"/>
          </w:tcPr>
          <w:p w14:paraId="18367D5F" w14:textId="77777777" w:rsidR="004017FC" w:rsidRPr="006B512E" w:rsidRDefault="004017FC" w:rsidP="00122AD7">
            <w:pPr>
              <w:rPr>
                <w:b/>
                <w:bCs w:val="0"/>
              </w:rPr>
            </w:pPr>
            <w:r w:rsidRPr="006B512E">
              <w:rPr>
                <w:b/>
                <w:bCs w:val="0"/>
              </w:rPr>
              <w:t>User Instruction</w:t>
            </w:r>
          </w:p>
          <w:p w14:paraId="7D7466B2" w14:textId="77777777" w:rsidR="004017FC" w:rsidRPr="006B512E" w:rsidRDefault="004017FC" w:rsidP="00122AD7">
            <w:pPr>
              <w:ind w:left="345" w:right="285"/>
            </w:pPr>
            <w:r w:rsidRPr="006B512E">
              <w:t xml:space="preserve">Complete this section for all entities, trusts, partnerships, and organizations. </w:t>
            </w:r>
            <w:proofErr w:type="gramStart"/>
            <w:r w:rsidRPr="006B512E">
              <w:t>Verify</w:t>
            </w:r>
            <w:proofErr w:type="gramEnd"/>
            <w:r w:rsidRPr="006B512E">
              <w:t xml:space="preserve"> ownership, control, relationship purpose, and expected activity using reliable and independent documentation. If information cannot be obtained or verified, escalate to the </w:t>
            </w:r>
            <w:r>
              <w:t xml:space="preserve">Deputy </w:t>
            </w:r>
            <w:r w:rsidRPr="006B512E">
              <w:t>CAMLO before proceeding.</w:t>
            </w:r>
          </w:p>
        </w:tc>
      </w:tr>
    </w:tbl>
    <w:p w14:paraId="65F9E695" w14:textId="77777777" w:rsidR="004017FC" w:rsidRDefault="004017FC" w:rsidP="004017FC"/>
    <w:tbl>
      <w:tblPr>
        <w:tblStyle w:val="TableGrid"/>
        <w:tblW w:w="0" w:type="auto"/>
        <w:jc w:val="center"/>
        <w:tblLook w:val="04A0" w:firstRow="1" w:lastRow="0" w:firstColumn="1" w:lastColumn="0" w:noHBand="0" w:noVBand="1"/>
      </w:tblPr>
      <w:tblGrid>
        <w:gridCol w:w="3550"/>
        <w:gridCol w:w="3548"/>
        <w:gridCol w:w="3548"/>
      </w:tblGrid>
      <w:tr w:rsidR="004017FC" w14:paraId="51B0CCCA" w14:textId="77777777" w:rsidTr="00122AD7">
        <w:trPr>
          <w:trHeight w:val="432"/>
          <w:jc w:val="center"/>
        </w:trPr>
        <w:tc>
          <w:tcPr>
            <w:tcW w:w="3550" w:type="dxa"/>
            <w:shd w:val="clear" w:color="auto" w:fill="0B2E6B"/>
            <w:vAlign w:val="center"/>
          </w:tcPr>
          <w:p w14:paraId="3F0FD598" w14:textId="77777777" w:rsidR="004017FC" w:rsidRPr="00EB31E6" w:rsidRDefault="004017FC" w:rsidP="00122AD7">
            <w:pPr>
              <w:rPr>
                <w:b/>
                <w:bCs w:val="0"/>
              </w:rPr>
            </w:pPr>
            <w:r w:rsidRPr="00EB31E6">
              <w:rPr>
                <w:b/>
                <w:bCs w:val="0"/>
              </w:rPr>
              <w:t>Required Information</w:t>
            </w:r>
          </w:p>
        </w:tc>
        <w:tc>
          <w:tcPr>
            <w:tcW w:w="3548" w:type="dxa"/>
            <w:shd w:val="clear" w:color="auto" w:fill="0B2E6B"/>
            <w:vAlign w:val="center"/>
          </w:tcPr>
          <w:p w14:paraId="5D81FE89" w14:textId="77777777" w:rsidR="004017FC" w:rsidRPr="00EB31E6" w:rsidRDefault="004017FC" w:rsidP="00122AD7">
            <w:pPr>
              <w:rPr>
                <w:b/>
                <w:bCs w:val="0"/>
              </w:rPr>
            </w:pPr>
            <w:r w:rsidRPr="00EB31E6">
              <w:rPr>
                <w:b/>
                <w:bCs w:val="0"/>
              </w:rPr>
              <w:t>Complete?</w:t>
            </w:r>
          </w:p>
        </w:tc>
        <w:tc>
          <w:tcPr>
            <w:tcW w:w="3548" w:type="dxa"/>
            <w:shd w:val="clear" w:color="auto" w:fill="0B2E6B"/>
            <w:vAlign w:val="center"/>
          </w:tcPr>
          <w:p w14:paraId="5F0EB133" w14:textId="77777777" w:rsidR="004017FC" w:rsidRPr="00EB31E6" w:rsidRDefault="004017FC" w:rsidP="00122AD7">
            <w:pPr>
              <w:rPr>
                <w:b/>
                <w:bCs w:val="0"/>
              </w:rPr>
            </w:pPr>
            <w:r w:rsidRPr="00EB31E6">
              <w:rPr>
                <w:b/>
                <w:bCs w:val="0"/>
              </w:rPr>
              <w:t>Notes / Documents Reviewed</w:t>
            </w:r>
          </w:p>
        </w:tc>
      </w:tr>
      <w:tr w:rsidR="004017FC" w14:paraId="5C2D2473" w14:textId="77777777" w:rsidTr="00122AD7">
        <w:trPr>
          <w:trHeight w:val="720"/>
          <w:jc w:val="center"/>
        </w:trPr>
        <w:tc>
          <w:tcPr>
            <w:tcW w:w="3550" w:type="dxa"/>
            <w:vAlign w:val="center"/>
          </w:tcPr>
          <w:p w14:paraId="06AD445E" w14:textId="77777777" w:rsidR="004017FC" w:rsidRDefault="004017FC" w:rsidP="00122AD7">
            <w:r>
              <w:t>Entity existence confirmed using registry or reliable documentation.</w:t>
            </w:r>
          </w:p>
        </w:tc>
        <w:tc>
          <w:tcPr>
            <w:tcW w:w="3548" w:type="dxa"/>
            <w:vAlign w:val="center"/>
          </w:tcPr>
          <w:p w14:paraId="40247B9A" w14:textId="7E292DC5" w:rsidR="004017FC" w:rsidRDefault="000A5B6C" w:rsidP="00122AD7">
            <w:sdt>
              <w:sdtPr>
                <w:rPr>
                  <w:color w:val="2B579A"/>
                  <w:shd w:val="clear" w:color="auto" w:fill="E6E6E6"/>
                </w:rPr>
                <w:id w:val="79864925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4017FC">
              <w:t xml:space="preserve"> Yes   </w:t>
            </w:r>
            <w:sdt>
              <w:sdtPr>
                <w:rPr>
                  <w:color w:val="2B579A"/>
                  <w:shd w:val="clear" w:color="auto" w:fill="E6E6E6"/>
                </w:rPr>
                <w:id w:val="-189920366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4017FC">
              <w:t xml:space="preserve"> No   </w:t>
            </w:r>
            <w:sdt>
              <w:sdtPr>
                <w:rPr>
                  <w:color w:val="2B579A"/>
                  <w:shd w:val="clear" w:color="auto" w:fill="E6E6E6"/>
                </w:rPr>
                <w:id w:val="-38317103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4017FC">
              <w:t xml:space="preserve"> N/A</w:t>
            </w:r>
          </w:p>
        </w:tc>
        <w:tc>
          <w:tcPr>
            <w:tcW w:w="3548" w:type="dxa"/>
            <w:vAlign w:val="center"/>
          </w:tcPr>
          <w:p w14:paraId="52A6984A" w14:textId="77777777" w:rsidR="004017FC" w:rsidRDefault="004017FC" w:rsidP="00122AD7"/>
        </w:tc>
      </w:tr>
      <w:tr w:rsidR="000A5B6C" w14:paraId="5E6508C6" w14:textId="77777777" w:rsidTr="00122AD7">
        <w:trPr>
          <w:trHeight w:val="720"/>
          <w:jc w:val="center"/>
        </w:trPr>
        <w:tc>
          <w:tcPr>
            <w:tcW w:w="3550" w:type="dxa"/>
            <w:vAlign w:val="center"/>
          </w:tcPr>
          <w:p w14:paraId="4ADC3A40" w14:textId="77777777" w:rsidR="000A5B6C" w:rsidRDefault="000A5B6C" w:rsidP="000A5B6C">
            <w:r>
              <w:t>Directors, trustees, signing authorities, or control persons identified.</w:t>
            </w:r>
          </w:p>
        </w:tc>
        <w:tc>
          <w:tcPr>
            <w:tcW w:w="3548" w:type="dxa"/>
            <w:vAlign w:val="center"/>
          </w:tcPr>
          <w:p w14:paraId="7DB3875B" w14:textId="2A751297" w:rsidR="000A5B6C" w:rsidRDefault="000A5B6C" w:rsidP="000A5B6C">
            <w:sdt>
              <w:sdtPr>
                <w:rPr>
                  <w:color w:val="2B579A"/>
                  <w:shd w:val="clear" w:color="auto" w:fill="E6E6E6"/>
                </w:rPr>
                <w:id w:val="-79391313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113934647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208394157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6B5CB3A7" w14:textId="77777777" w:rsidR="000A5B6C" w:rsidRDefault="000A5B6C" w:rsidP="000A5B6C"/>
        </w:tc>
      </w:tr>
      <w:tr w:rsidR="000A5B6C" w14:paraId="2D5C75F2" w14:textId="77777777" w:rsidTr="00122AD7">
        <w:trPr>
          <w:trHeight w:val="720"/>
          <w:jc w:val="center"/>
        </w:trPr>
        <w:tc>
          <w:tcPr>
            <w:tcW w:w="3550" w:type="dxa"/>
            <w:vAlign w:val="center"/>
          </w:tcPr>
          <w:p w14:paraId="650E7E8D" w14:textId="77777777" w:rsidR="000A5B6C" w:rsidRDefault="000A5B6C" w:rsidP="000A5B6C">
            <w:r>
              <w:t xml:space="preserve">Individuals owning or controlling 25%+ </w:t>
            </w:r>
            <w:proofErr w:type="gramStart"/>
            <w:r>
              <w:t>identified,</w:t>
            </w:r>
            <w:proofErr w:type="gramEnd"/>
            <w:r>
              <w:t xml:space="preserve"> where applicable.</w:t>
            </w:r>
          </w:p>
        </w:tc>
        <w:tc>
          <w:tcPr>
            <w:tcW w:w="3548" w:type="dxa"/>
            <w:vAlign w:val="center"/>
          </w:tcPr>
          <w:p w14:paraId="7819D344" w14:textId="2FD7F0C2" w:rsidR="000A5B6C" w:rsidRDefault="000A5B6C" w:rsidP="000A5B6C">
            <w:sdt>
              <w:sdtPr>
                <w:rPr>
                  <w:color w:val="2B579A"/>
                  <w:shd w:val="clear" w:color="auto" w:fill="E6E6E6"/>
                </w:rPr>
                <w:id w:val="34344018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24608060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57432449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11CAD510" w14:textId="77777777" w:rsidR="000A5B6C" w:rsidRDefault="000A5B6C" w:rsidP="000A5B6C"/>
        </w:tc>
      </w:tr>
      <w:tr w:rsidR="000A5B6C" w14:paraId="3BD71FDC" w14:textId="77777777" w:rsidTr="00122AD7">
        <w:trPr>
          <w:trHeight w:val="720"/>
          <w:jc w:val="center"/>
        </w:trPr>
        <w:tc>
          <w:tcPr>
            <w:tcW w:w="3550" w:type="dxa"/>
            <w:vAlign w:val="center"/>
          </w:tcPr>
          <w:p w14:paraId="4F25820E" w14:textId="77777777" w:rsidR="000A5B6C" w:rsidRDefault="000A5B6C" w:rsidP="000A5B6C">
            <w:r>
              <w:t>Ownership/control structure reviewed for opacity, layering, nominees, or offshore entities.</w:t>
            </w:r>
          </w:p>
        </w:tc>
        <w:tc>
          <w:tcPr>
            <w:tcW w:w="3548" w:type="dxa"/>
            <w:vAlign w:val="center"/>
          </w:tcPr>
          <w:p w14:paraId="6CFB3551" w14:textId="33D2085F" w:rsidR="000A5B6C" w:rsidRDefault="000A5B6C" w:rsidP="000A5B6C">
            <w:sdt>
              <w:sdtPr>
                <w:rPr>
                  <w:color w:val="2B579A"/>
                  <w:shd w:val="clear" w:color="auto" w:fill="E6E6E6"/>
                </w:rPr>
                <w:id w:val="92585130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110199414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1450856903"/>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7C394348" w14:textId="77777777" w:rsidR="000A5B6C" w:rsidRDefault="000A5B6C" w:rsidP="000A5B6C"/>
        </w:tc>
      </w:tr>
      <w:tr w:rsidR="000A5B6C" w14:paraId="019E0BA2" w14:textId="77777777" w:rsidTr="00122AD7">
        <w:trPr>
          <w:trHeight w:val="720"/>
          <w:jc w:val="center"/>
        </w:trPr>
        <w:tc>
          <w:tcPr>
            <w:tcW w:w="3550" w:type="dxa"/>
            <w:vAlign w:val="center"/>
          </w:tcPr>
          <w:p w14:paraId="46EE1AC1" w14:textId="77777777" w:rsidR="000A5B6C" w:rsidRDefault="000A5B6C" w:rsidP="000A5B6C">
            <w:r>
              <w:t>Purpose and intended nature of relationship documented.</w:t>
            </w:r>
          </w:p>
        </w:tc>
        <w:tc>
          <w:tcPr>
            <w:tcW w:w="3548" w:type="dxa"/>
            <w:vAlign w:val="center"/>
          </w:tcPr>
          <w:p w14:paraId="3785442B" w14:textId="385E47EF" w:rsidR="000A5B6C" w:rsidRDefault="000A5B6C" w:rsidP="000A5B6C">
            <w:sdt>
              <w:sdtPr>
                <w:rPr>
                  <w:color w:val="2B579A"/>
                  <w:shd w:val="clear" w:color="auto" w:fill="E6E6E6"/>
                </w:rPr>
                <w:id w:val="67030660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162992515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185934117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0E94E83C" w14:textId="77777777" w:rsidR="000A5B6C" w:rsidRDefault="000A5B6C" w:rsidP="000A5B6C"/>
        </w:tc>
      </w:tr>
      <w:tr w:rsidR="000A5B6C" w14:paraId="36FF5466" w14:textId="77777777" w:rsidTr="00122AD7">
        <w:trPr>
          <w:trHeight w:val="720"/>
          <w:jc w:val="center"/>
        </w:trPr>
        <w:tc>
          <w:tcPr>
            <w:tcW w:w="3550" w:type="dxa"/>
            <w:vAlign w:val="center"/>
          </w:tcPr>
          <w:p w14:paraId="2731046B" w14:textId="77777777" w:rsidR="000A5B6C" w:rsidRDefault="000A5B6C" w:rsidP="000A5B6C">
            <w:r>
              <w:t>Expected activity, jurisdictions, products/services, and transaction pattern understood.</w:t>
            </w:r>
          </w:p>
        </w:tc>
        <w:tc>
          <w:tcPr>
            <w:tcW w:w="3548" w:type="dxa"/>
            <w:vAlign w:val="center"/>
          </w:tcPr>
          <w:p w14:paraId="1E834A0D" w14:textId="480A588D" w:rsidR="000A5B6C" w:rsidRDefault="000A5B6C" w:rsidP="000A5B6C">
            <w:sdt>
              <w:sdtPr>
                <w:rPr>
                  <w:color w:val="2B579A"/>
                  <w:shd w:val="clear" w:color="auto" w:fill="E6E6E6"/>
                </w:rPr>
                <w:id w:val="-161220286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95848557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11272821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2DBC9726" w14:textId="77777777" w:rsidR="000A5B6C" w:rsidRDefault="000A5B6C" w:rsidP="000A5B6C"/>
        </w:tc>
      </w:tr>
      <w:tr w:rsidR="000A5B6C" w14:paraId="516F98D1" w14:textId="77777777" w:rsidTr="00122AD7">
        <w:trPr>
          <w:trHeight w:val="720"/>
          <w:jc w:val="center"/>
        </w:trPr>
        <w:tc>
          <w:tcPr>
            <w:tcW w:w="3550" w:type="dxa"/>
            <w:vAlign w:val="center"/>
          </w:tcPr>
          <w:p w14:paraId="7C55A91A" w14:textId="77777777" w:rsidR="000A5B6C" w:rsidRDefault="000A5B6C" w:rsidP="000A5B6C">
            <w:r>
              <w:t>Source of funds / source of wealth considered where risk requires.</w:t>
            </w:r>
          </w:p>
        </w:tc>
        <w:tc>
          <w:tcPr>
            <w:tcW w:w="3548" w:type="dxa"/>
            <w:vAlign w:val="center"/>
          </w:tcPr>
          <w:p w14:paraId="7D453D15" w14:textId="1F5ED25C" w:rsidR="000A5B6C" w:rsidRDefault="000A5B6C" w:rsidP="000A5B6C">
            <w:sdt>
              <w:sdtPr>
                <w:rPr>
                  <w:color w:val="2B579A"/>
                  <w:shd w:val="clear" w:color="auto" w:fill="E6E6E6"/>
                </w:rPr>
                <w:id w:val="66174303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754317934"/>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143004169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64454B88" w14:textId="77777777" w:rsidR="000A5B6C" w:rsidRDefault="000A5B6C" w:rsidP="000A5B6C"/>
        </w:tc>
      </w:tr>
      <w:tr w:rsidR="000A5B6C" w14:paraId="563DB3AE" w14:textId="77777777" w:rsidTr="00122AD7">
        <w:trPr>
          <w:trHeight w:val="720"/>
          <w:jc w:val="center"/>
        </w:trPr>
        <w:tc>
          <w:tcPr>
            <w:tcW w:w="3550" w:type="dxa"/>
            <w:vAlign w:val="center"/>
          </w:tcPr>
          <w:p w14:paraId="41465FCB" w14:textId="77777777" w:rsidR="000A5B6C" w:rsidRDefault="000A5B6C" w:rsidP="000A5B6C">
            <w:r>
              <w:t>Third-party determination considered where applicable.</w:t>
            </w:r>
          </w:p>
        </w:tc>
        <w:tc>
          <w:tcPr>
            <w:tcW w:w="3548" w:type="dxa"/>
            <w:vAlign w:val="center"/>
          </w:tcPr>
          <w:p w14:paraId="43D5CEBB" w14:textId="18BC249A" w:rsidR="000A5B6C" w:rsidRDefault="000A5B6C" w:rsidP="000A5B6C">
            <w:sdt>
              <w:sdtPr>
                <w:rPr>
                  <w:color w:val="2B579A"/>
                  <w:shd w:val="clear" w:color="auto" w:fill="E6E6E6"/>
                </w:rPr>
                <w:id w:val="16213138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209500992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82797195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7C68A98E" w14:textId="77777777" w:rsidR="000A5B6C" w:rsidRDefault="000A5B6C" w:rsidP="000A5B6C"/>
        </w:tc>
      </w:tr>
      <w:tr w:rsidR="000A5B6C" w14:paraId="3559044E" w14:textId="77777777" w:rsidTr="001A3C85">
        <w:trPr>
          <w:trHeight w:val="2160"/>
          <w:jc w:val="center"/>
        </w:trPr>
        <w:tc>
          <w:tcPr>
            <w:tcW w:w="3550" w:type="dxa"/>
            <w:vAlign w:val="center"/>
          </w:tcPr>
          <w:p w14:paraId="0D8CE7E9" w14:textId="0F58B9C0" w:rsidR="000A5B6C" w:rsidRDefault="000A5B6C" w:rsidP="000A5B6C">
            <w:r w:rsidRPr="001A3C85">
              <w:t>For high-risk CBCA corporations, has beneficial ownership information been compared to Corporations Canada ISC/registry information, and has any material discrepancy been addressed or reported where required?</w:t>
            </w:r>
          </w:p>
        </w:tc>
        <w:tc>
          <w:tcPr>
            <w:tcW w:w="3548" w:type="dxa"/>
            <w:vAlign w:val="center"/>
          </w:tcPr>
          <w:p w14:paraId="71A97EC7" w14:textId="17E03DEC" w:rsidR="000A5B6C" w:rsidRDefault="000A5B6C" w:rsidP="000A5B6C">
            <w:sdt>
              <w:sdtPr>
                <w:rPr>
                  <w:color w:val="2B579A"/>
                  <w:shd w:val="clear" w:color="auto" w:fill="E6E6E6"/>
                </w:rPr>
                <w:id w:val="560519567"/>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Yes   </w:t>
            </w:r>
            <w:sdt>
              <w:sdtPr>
                <w:rPr>
                  <w:color w:val="2B579A"/>
                  <w:shd w:val="clear" w:color="auto" w:fill="E6E6E6"/>
                </w:rPr>
                <w:id w:val="-1300294889"/>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No   </w:t>
            </w:r>
            <w:sdt>
              <w:sdtPr>
                <w:rPr>
                  <w:color w:val="2B579A"/>
                  <w:shd w:val="clear" w:color="auto" w:fill="E6E6E6"/>
                </w:rPr>
                <w:id w:val="-1366127435"/>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t xml:space="preserve"> N/A</w:t>
            </w:r>
          </w:p>
        </w:tc>
        <w:tc>
          <w:tcPr>
            <w:tcW w:w="3548" w:type="dxa"/>
            <w:vAlign w:val="center"/>
          </w:tcPr>
          <w:p w14:paraId="0E718DC9" w14:textId="77777777" w:rsidR="000A5B6C" w:rsidRDefault="000A5B6C" w:rsidP="000A5B6C"/>
        </w:tc>
      </w:tr>
    </w:tbl>
    <w:p w14:paraId="09EC7B09" w14:textId="77777777" w:rsidR="00E94833" w:rsidRDefault="00E94833">
      <w:r>
        <w:br w:type="page"/>
      </w:r>
    </w:p>
    <w:p w14:paraId="79745814" w14:textId="24EC38DC" w:rsidR="00FC7575" w:rsidRDefault="00A5752C" w:rsidP="004017FC">
      <w:pPr>
        <w:pStyle w:val="Heading2"/>
        <w:numPr>
          <w:ilvl w:val="0"/>
          <w:numId w:val="14"/>
        </w:numPr>
      </w:pPr>
      <w:r>
        <w:lastRenderedPageBreak/>
        <w:t>Reviewer Sign-Off</w:t>
      </w:r>
    </w:p>
    <w:tbl>
      <w:tblPr>
        <w:tblW w:w="0" w:type="auto"/>
        <w:jc w:val="center"/>
        <w:tblLook w:val="04A0" w:firstRow="1" w:lastRow="0" w:firstColumn="1" w:lastColumn="0" w:noHBand="0" w:noVBand="1"/>
      </w:tblPr>
      <w:tblGrid>
        <w:gridCol w:w="10656"/>
      </w:tblGrid>
      <w:tr w:rsidR="006B512E" w14:paraId="7483E98D" w14:textId="77777777" w:rsidTr="00122AD7">
        <w:trPr>
          <w:jc w:val="center"/>
        </w:trPr>
        <w:tc>
          <w:tcPr>
            <w:tcW w:w="10656" w:type="dxa"/>
            <w:shd w:val="clear" w:color="auto" w:fill="EEF4FF"/>
          </w:tcPr>
          <w:p w14:paraId="7DD49361" w14:textId="77777777" w:rsidR="006B512E" w:rsidRPr="006B512E" w:rsidRDefault="006B512E" w:rsidP="00122AD7">
            <w:pPr>
              <w:rPr>
                <w:b/>
                <w:bCs w:val="0"/>
              </w:rPr>
            </w:pPr>
            <w:r w:rsidRPr="006B512E">
              <w:rPr>
                <w:b/>
                <w:bCs w:val="0"/>
              </w:rPr>
              <w:t>User Instruction</w:t>
            </w:r>
          </w:p>
          <w:p w14:paraId="5F26F4A3" w14:textId="77777777" w:rsidR="006B512E" w:rsidRPr="006B512E" w:rsidRDefault="006B512E" w:rsidP="00122AD7">
            <w:pPr>
              <w:ind w:left="345" w:right="285"/>
            </w:pPr>
            <w:r w:rsidRPr="006B512E">
              <w:t>The preparer and reviewer must confirm that the questionnaire has been completed, supporting documentation has been reviewed, the risk classification is reasonable, and all required follow-up actions have been identified. Any High-Risk classification or escalation must be documented before final approval.</w:t>
            </w:r>
          </w:p>
        </w:tc>
      </w:tr>
    </w:tbl>
    <w:p w14:paraId="7C30F930" w14:textId="77777777" w:rsidR="006B512E" w:rsidRPr="006B512E" w:rsidRDefault="006B512E" w:rsidP="006B512E"/>
    <w:tbl>
      <w:tblPr>
        <w:tblStyle w:val="TableGrid"/>
        <w:tblW w:w="0" w:type="auto"/>
        <w:tblLook w:val="04A0" w:firstRow="1" w:lastRow="0" w:firstColumn="1" w:lastColumn="0" w:noHBand="0" w:noVBand="1"/>
      </w:tblPr>
      <w:tblGrid>
        <w:gridCol w:w="2662"/>
        <w:gridCol w:w="2661"/>
        <w:gridCol w:w="2662"/>
        <w:gridCol w:w="2661"/>
      </w:tblGrid>
      <w:tr w:rsidR="00172845" w14:paraId="50CD6306" w14:textId="77777777" w:rsidTr="00172845">
        <w:trPr>
          <w:trHeight w:val="720"/>
        </w:trPr>
        <w:tc>
          <w:tcPr>
            <w:tcW w:w="2662" w:type="dxa"/>
            <w:vAlign w:val="center"/>
          </w:tcPr>
          <w:p w14:paraId="17391FF7" w14:textId="19C134CE" w:rsidR="00172845" w:rsidRPr="00E94833" w:rsidRDefault="000A5B6C" w:rsidP="00172845">
            <w:pPr>
              <w:rPr>
                <w:b/>
                <w:bCs w:val="0"/>
              </w:rPr>
            </w:pPr>
            <w:sdt>
              <w:sdtPr>
                <w:rPr>
                  <w:color w:val="2B579A"/>
                  <w:shd w:val="clear" w:color="auto" w:fill="E6E6E6"/>
                </w:rPr>
                <w:id w:val="1006865681"/>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172845" w:rsidRPr="00172845">
              <w:rPr>
                <w:b/>
              </w:rPr>
              <w:t xml:space="preserve"> No escalation required</w:t>
            </w:r>
          </w:p>
        </w:tc>
        <w:tc>
          <w:tcPr>
            <w:tcW w:w="2661" w:type="dxa"/>
            <w:vAlign w:val="center"/>
          </w:tcPr>
          <w:p w14:paraId="058C04B3" w14:textId="69D6F25A" w:rsidR="00172845" w:rsidRPr="00E94833" w:rsidRDefault="000A5B6C" w:rsidP="00172845">
            <w:pPr>
              <w:rPr>
                <w:b/>
                <w:bCs w:val="0"/>
              </w:rPr>
            </w:pPr>
            <w:sdt>
              <w:sdtPr>
                <w:rPr>
                  <w:color w:val="2B579A"/>
                  <w:shd w:val="clear" w:color="auto" w:fill="E6E6E6"/>
                </w:rPr>
                <w:id w:val="1392774492"/>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172845" w:rsidRPr="00172845">
              <w:rPr>
                <w:b/>
              </w:rPr>
              <w:t>Deputy CAMLO review completed</w:t>
            </w:r>
          </w:p>
        </w:tc>
        <w:tc>
          <w:tcPr>
            <w:tcW w:w="2662" w:type="dxa"/>
            <w:vAlign w:val="center"/>
          </w:tcPr>
          <w:p w14:paraId="679D02D1" w14:textId="20D8994D" w:rsidR="00172845" w:rsidRPr="00E94833" w:rsidRDefault="000A5B6C" w:rsidP="00172845">
            <w:pPr>
              <w:rPr>
                <w:b/>
                <w:bCs w:val="0"/>
              </w:rPr>
            </w:pPr>
            <w:sdt>
              <w:sdtPr>
                <w:rPr>
                  <w:color w:val="2B579A"/>
                  <w:shd w:val="clear" w:color="auto" w:fill="E6E6E6"/>
                </w:rPr>
                <w:id w:val="1958988478"/>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172845" w:rsidRPr="00172845">
              <w:rPr>
                <w:b/>
              </w:rPr>
              <w:t xml:space="preserve"> CAMLO review completed</w:t>
            </w:r>
          </w:p>
        </w:tc>
        <w:tc>
          <w:tcPr>
            <w:tcW w:w="2661" w:type="dxa"/>
            <w:vAlign w:val="center"/>
          </w:tcPr>
          <w:p w14:paraId="0D820A2F" w14:textId="210351F3" w:rsidR="00172845" w:rsidRPr="00E94833" w:rsidRDefault="000A5B6C" w:rsidP="00172845">
            <w:pPr>
              <w:rPr>
                <w:b/>
                <w:bCs w:val="0"/>
              </w:rPr>
            </w:pPr>
            <w:sdt>
              <w:sdtPr>
                <w:rPr>
                  <w:color w:val="2B579A"/>
                  <w:shd w:val="clear" w:color="auto" w:fill="E6E6E6"/>
                </w:rPr>
                <w:id w:val="-749667606"/>
                <w14:checkbox>
                  <w14:checked w14:val="0"/>
                  <w14:checkedState w14:val="2612" w14:font="MS Gothic"/>
                  <w14:uncheckedState w14:val="2610" w14:font="MS Gothic"/>
                </w14:checkbox>
              </w:sdtPr>
              <w:sdtContent>
                <w:r w:rsidRPr="00500B84">
                  <w:rPr>
                    <w:rFonts w:ascii="MS Gothic" w:eastAsia="MS Gothic" w:hAnsi="MS Gothic" w:hint="eastAsia"/>
                  </w:rPr>
                  <w:t>☐</w:t>
                </w:r>
              </w:sdtContent>
            </w:sdt>
            <w:r w:rsidR="00172845" w:rsidRPr="00172845">
              <w:rPr>
                <w:b/>
              </w:rPr>
              <w:t xml:space="preserve"> EDD completed</w:t>
            </w:r>
            <w:r w:rsidR="00172845">
              <w:rPr>
                <w:b/>
              </w:rPr>
              <w:t xml:space="preserve"> (</w:t>
            </w:r>
            <w:r w:rsidR="000518BF">
              <w:rPr>
                <w:b/>
              </w:rPr>
              <w:t>Attach to file)</w:t>
            </w:r>
          </w:p>
        </w:tc>
      </w:tr>
      <w:tr w:rsidR="00FC7575" w14:paraId="638BC782" w14:textId="77777777" w:rsidTr="00E94833">
        <w:trPr>
          <w:trHeight w:val="1296"/>
        </w:trPr>
        <w:tc>
          <w:tcPr>
            <w:tcW w:w="2662" w:type="dxa"/>
          </w:tcPr>
          <w:p w14:paraId="7F63E3C2" w14:textId="77777777" w:rsidR="00FC7575" w:rsidRPr="00E94833" w:rsidRDefault="00A5752C" w:rsidP="00935C44">
            <w:pPr>
              <w:rPr>
                <w:b/>
                <w:bCs w:val="0"/>
              </w:rPr>
            </w:pPr>
            <w:r w:rsidRPr="00E94833">
              <w:rPr>
                <w:b/>
                <w:bCs w:val="0"/>
              </w:rPr>
              <w:t>Prepared by:</w:t>
            </w:r>
            <w:r w:rsidRPr="00E94833">
              <w:rPr>
                <w:b/>
                <w:bCs w:val="0"/>
              </w:rPr>
              <w:br/>
            </w:r>
            <w:r w:rsidRPr="00E94833">
              <w:rPr>
                <w:b/>
                <w:bCs w:val="0"/>
              </w:rPr>
              <w:br/>
            </w:r>
          </w:p>
        </w:tc>
        <w:tc>
          <w:tcPr>
            <w:tcW w:w="2661" w:type="dxa"/>
          </w:tcPr>
          <w:p w14:paraId="36258A47" w14:textId="77777777" w:rsidR="00FC7575" w:rsidRPr="00E94833" w:rsidRDefault="00A5752C" w:rsidP="00935C44">
            <w:pPr>
              <w:rPr>
                <w:b/>
                <w:bCs w:val="0"/>
              </w:rPr>
            </w:pPr>
            <w:r w:rsidRPr="00E94833">
              <w:rPr>
                <w:b/>
                <w:bCs w:val="0"/>
              </w:rPr>
              <w:t>Date:</w:t>
            </w:r>
            <w:r w:rsidRPr="00E94833">
              <w:rPr>
                <w:b/>
                <w:bCs w:val="0"/>
              </w:rPr>
              <w:br/>
            </w:r>
            <w:r w:rsidRPr="00E94833">
              <w:rPr>
                <w:b/>
                <w:bCs w:val="0"/>
              </w:rPr>
              <w:br/>
            </w:r>
          </w:p>
        </w:tc>
        <w:tc>
          <w:tcPr>
            <w:tcW w:w="2662" w:type="dxa"/>
          </w:tcPr>
          <w:p w14:paraId="5936A8EC" w14:textId="09533544" w:rsidR="00FC7575" w:rsidRPr="00E94833" w:rsidRDefault="00EC7717" w:rsidP="00935C44">
            <w:pPr>
              <w:rPr>
                <w:b/>
                <w:bCs w:val="0"/>
              </w:rPr>
            </w:pPr>
            <w:r>
              <w:rPr>
                <w:b/>
                <w:bCs w:val="0"/>
              </w:rPr>
              <w:t>CAMLO</w:t>
            </w:r>
            <w:r w:rsidR="00172845">
              <w:rPr>
                <w:b/>
                <w:bCs w:val="0"/>
              </w:rPr>
              <w:t>/</w:t>
            </w:r>
            <w:r>
              <w:rPr>
                <w:b/>
                <w:bCs w:val="0"/>
              </w:rPr>
              <w:t>Deputy CAMLO</w:t>
            </w:r>
            <w:r w:rsidR="00172845">
              <w:rPr>
                <w:b/>
                <w:bCs w:val="0"/>
              </w:rPr>
              <w:t xml:space="preserve"> Signature</w:t>
            </w:r>
            <w:r w:rsidR="00A5752C" w:rsidRPr="00E94833">
              <w:rPr>
                <w:b/>
                <w:bCs w:val="0"/>
              </w:rPr>
              <w:t>:</w:t>
            </w:r>
            <w:r w:rsidR="00A5752C" w:rsidRPr="00E94833">
              <w:rPr>
                <w:b/>
                <w:bCs w:val="0"/>
              </w:rPr>
              <w:br/>
            </w:r>
            <w:r w:rsidR="00A5752C" w:rsidRPr="00E94833">
              <w:rPr>
                <w:b/>
                <w:bCs w:val="0"/>
              </w:rPr>
              <w:br/>
            </w:r>
          </w:p>
        </w:tc>
        <w:tc>
          <w:tcPr>
            <w:tcW w:w="2661" w:type="dxa"/>
          </w:tcPr>
          <w:p w14:paraId="20FB4B7D" w14:textId="77777777" w:rsidR="00FC7575" w:rsidRPr="00E94833" w:rsidRDefault="00A5752C" w:rsidP="00935C44">
            <w:pPr>
              <w:rPr>
                <w:b/>
                <w:bCs w:val="0"/>
              </w:rPr>
            </w:pPr>
            <w:r w:rsidRPr="00E94833">
              <w:rPr>
                <w:b/>
                <w:bCs w:val="0"/>
              </w:rPr>
              <w:t>Date:</w:t>
            </w:r>
            <w:r w:rsidRPr="00E94833">
              <w:rPr>
                <w:b/>
                <w:bCs w:val="0"/>
              </w:rPr>
              <w:br/>
            </w:r>
            <w:r w:rsidRPr="00E94833">
              <w:rPr>
                <w:b/>
                <w:bCs w:val="0"/>
              </w:rPr>
              <w:br/>
            </w:r>
          </w:p>
        </w:tc>
      </w:tr>
      <w:tr w:rsidR="00FC7575" w14:paraId="327F81BB" w14:textId="77777777" w:rsidTr="006B512E">
        <w:tc>
          <w:tcPr>
            <w:tcW w:w="10646" w:type="dxa"/>
            <w:gridSpan w:val="4"/>
          </w:tcPr>
          <w:p w14:paraId="44251FEA" w14:textId="290131CC" w:rsidR="00E94833" w:rsidRPr="00E94833" w:rsidRDefault="00A5752C" w:rsidP="00935C44">
            <w:pPr>
              <w:rPr>
                <w:b/>
                <w:bCs w:val="0"/>
              </w:rPr>
            </w:pPr>
            <w:r w:rsidRPr="00E94833">
              <w:rPr>
                <w:b/>
                <w:bCs w:val="0"/>
              </w:rPr>
              <w:t xml:space="preserve">Summary </w:t>
            </w:r>
            <w:r w:rsidR="00E94833" w:rsidRPr="00E94833">
              <w:rPr>
                <w:b/>
                <w:bCs w:val="0"/>
              </w:rPr>
              <w:t>Rationale:</w:t>
            </w:r>
            <w:r w:rsidRPr="00E94833">
              <w:rPr>
                <w:b/>
                <w:bCs w:val="0"/>
              </w:rPr>
              <w:br/>
            </w:r>
          </w:p>
          <w:p w14:paraId="23792293" w14:textId="77777777" w:rsidR="00E94833" w:rsidRDefault="00E94833" w:rsidP="00935C44"/>
          <w:p w14:paraId="4607FD1D" w14:textId="77777777" w:rsidR="00E94833" w:rsidRDefault="00E94833" w:rsidP="00935C44"/>
          <w:p w14:paraId="256FE58C" w14:textId="77777777" w:rsidR="00E94833" w:rsidRDefault="00E94833" w:rsidP="00935C44"/>
          <w:p w14:paraId="52777384" w14:textId="77777777" w:rsidR="00E94833" w:rsidRDefault="00E94833" w:rsidP="00935C44"/>
          <w:p w14:paraId="0A67283E" w14:textId="50C5E1E2" w:rsidR="00FC7575" w:rsidRDefault="00A5752C" w:rsidP="00935C44">
            <w:r>
              <w:br/>
            </w:r>
          </w:p>
        </w:tc>
      </w:tr>
      <w:tr w:rsidR="00FC7575" w14:paraId="0E352F1C" w14:textId="77777777" w:rsidTr="006B512E">
        <w:tc>
          <w:tcPr>
            <w:tcW w:w="10646" w:type="dxa"/>
            <w:gridSpan w:val="4"/>
          </w:tcPr>
          <w:p w14:paraId="0C8A6F2D" w14:textId="39C5B16A" w:rsidR="00FC7575" w:rsidRPr="00E94833" w:rsidRDefault="00A5752C" w:rsidP="00935C44">
            <w:pPr>
              <w:rPr>
                <w:b/>
                <w:bCs w:val="0"/>
              </w:rPr>
            </w:pPr>
            <w:r w:rsidRPr="00E94833">
              <w:rPr>
                <w:b/>
                <w:bCs w:val="0"/>
              </w:rPr>
              <w:t xml:space="preserve">Required </w:t>
            </w:r>
            <w:r w:rsidR="00E94833" w:rsidRPr="00E94833">
              <w:rPr>
                <w:b/>
                <w:bCs w:val="0"/>
              </w:rPr>
              <w:t>Follow-Up:</w:t>
            </w:r>
            <w:r w:rsidRPr="00E94833">
              <w:rPr>
                <w:b/>
                <w:bCs w:val="0"/>
              </w:rPr>
              <w:br/>
            </w:r>
            <w:r w:rsidRPr="00E94833">
              <w:rPr>
                <w:b/>
                <w:bCs w:val="0"/>
              </w:rPr>
              <w:br/>
            </w:r>
          </w:p>
          <w:p w14:paraId="3497C271" w14:textId="77777777" w:rsidR="00E94833" w:rsidRDefault="00E94833" w:rsidP="00935C44"/>
          <w:p w14:paraId="732C00D8" w14:textId="77777777" w:rsidR="00E94833" w:rsidRDefault="00E94833" w:rsidP="00935C44"/>
          <w:p w14:paraId="1DBA99E9" w14:textId="77777777" w:rsidR="00E94833" w:rsidRDefault="00E94833" w:rsidP="00935C44"/>
          <w:p w14:paraId="4F34B354" w14:textId="77777777" w:rsidR="00E94833" w:rsidRDefault="00E94833" w:rsidP="00935C44"/>
          <w:p w14:paraId="60A0A70B" w14:textId="77777777" w:rsidR="00E94833" w:rsidRDefault="00E94833" w:rsidP="00935C44"/>
        </w:tc>
      </w:tr>
    </w:tbl>
    <w:p w14:paraId="574E8BC7" w14:textId="14B9C819" w:rsidR="00FC7575" w:rsidRDefault="00FC7575" w:rsidP="00AC678B">
      <w:pPr>
        <w:pStyle w:val="ListBullet"/>
        <w:numPr>
          <w:ilvl w:val="0"/>
          <w:numId w:val="0"/>
        </w:numPr>
        <w:ind w:left="360"/>
      </w:pPr>
    </w:p>
    <w:sectPr w:rsidR="00FC7575" w:rsidSect="00D23625">
      <w:headerReference w:type="default" r:id="rId8"/>
      <w:footerReference w:type="default" r:id="rId9"/>
      <w:pgSz w:w="12240" w:h="15840"/>
      <w:pgMar w:top="792" w:right="792" w:bottom="792" w:left="792" w:header="1008"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7D8DD" w14:textId="77777777" w:rsidR="002F494C" w:rsidRDefault="002F494C" w:rsidP="00935C44">
      <w:r>
        <w:separator/>
      </w:r>
    </w:p>
  </w:endnote>
  <w:endnote w:type="continuationSeparator" w:id="0">
    <w:p w14:paraId="74D8BE59" w14:textId="77777777" w:rsidR="002F494C" w:rsidRDefault="002F494C" w:rsidP="0093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979064"/>
      <w:docPartObj>
        <w:docPartGallery w:val="Page Numbers (Bottom of Page)"/>
        <w:docPartUnique/>
      </w:docPartObj>
    </w:sdtPr>
    <w:sdtEndPr>
      <w:rPr>
        <w:noProof/>
        <w:sz w:val="18"/>
        <w:szCs w:val="18"/>
      </w:rPr>
    </w:sdtEndPr>
    <w:sdtContent>
      <w:p w14:paraId="21C51CAA" w14:textId="3D41F9B8" w:rsidR="00D23625" w:rsidRPr="006134A6" w:rsidRDefault="00D23625" w:rsidP="00D23625">
        <w:pPr>
          <w:pStyle w:val="Footer"/>
          <w:jc w:val="right"/>
          <w:rPr>
            <w:sz w:val="18"/>
            <w:szCs w:val="18"/>
          </w:rPr>
        </w:pPr>
        <w:r w:rsidRPr="006134A6">
          <w:rPr>
            <w:sz w:val="18"/>
            <w:szCs w:val="18"/>
          </w:rPr>
          <w:t xml:space="preserve">Document #: </w:t>
        </w:r>
        <w:r w:rsidRPr="006134A6">
          <w:rPr>
            <w:b/>
            <w:sz w:val="18"/>
            <w:szCs w:val="18"/>
          </w:rPr>
          <w:t>CrawfordSS</w:t>
        </w:r>
        <w:r w:rsidR="00FA1EEA">
          <w:rPr>
            <w:b/>
            <w:sz w:val="18"/>
            <w:szCs w:val="18"/>
          </w:rPr>
          <w:t>OnboardingQuestion</w:t>
        </w:r>
        <w:r w:rsidR="00353093">
          <w:rPr>
            <w:b/>
            <w:sz w:val="18"/>
            <w:szCs w:val="18"/>
          </w:rPr>
          <w:t>n</w:t>
        </w:r>
        <w:r w:rsidR="00FA1EEA">
          <w:rPr>
            <w:b/>
            <w:sz w:val="18"/>
            <w:szCs w:val="18"/>
          </w:rPr>
          <w:t>aire</w:t>
        </w:r>
        <w:r w:rsidRPr="006134A6">
          <w:rPr>
            <w:b/>
            <w:sz w:val="18"/>
            <w:szCs w:val="18"/>
          </w:rPr>
          <w:t>2026</w:t>
        </w:r>
      </w:p>
      <w:p w14:paraId="21E976FB" w14:textId="77777777" w:rsidR="00D23625" w:rsidRPr="006134A6" w:rsidRDefault="00D23625" w:rsidP="00D23625">
        <w:pPr>
          <w:pStyle w:val="SKFooter"/>
          <w:tabs>
            <w:tab w:val="right" w:pos="9356"/>
          </w:tabs>
          <w:ind w:left="0" w:right="-23"/>
          <w:jc w:val="right"/>
          <w:rPr>
            <w:rFonts w:ascii="Aptos" w:hAnsi="Aptos"/>
            <w:color w:val="auto"/>
          </w:rPr>
        </w:pPr>
        <w:r w:rsidRPr="006134A6">
          <w:rPr>
            <w:rFonts w:ascii="Aptos" w:hAnsi="Aptos"/>
            <w:color w:val="auto"/>
          </w:rPr>
          <w:tab/>
        </w:r>
        <w:r w:rsidRPr="006134A6">
          <w:rPr>
            <w:rFonts w:ascii="Aptos" w:hAnsi="Aptos"/>
            <w:color w:val="auto"/>
          </w:rPr>
          <w:tab/>
          <w:t xml:space="preserve">    Document Owner: CSSHR</w:t>
        </w:r>
      </w:p>
      <w:p w14:paraId="14865121" w14:textId="77777777" w:rsidR="00D23625" w:rsidRPr="006134A6" w:rsidRDefault="00D23625" w:rsidP="00D23625">
        <w:pPr>
          <w:pStyle w:val="SKFooter"/>
          <w:tabs>
            <w:tab w:val="clear" w:pos="4536"/>
            <w:tab w:val="center" w:pos="4820"/>
            <w:tab w:val="left" w:pos="6937"/>
            <w:tab w:val="right" w:pos="9356"/>
            <w:tab w:val="right" w:pos="9383"/>
          </w:tabs>
          <w:ind w:left="0" w:right="-23"/>
          <w:jc w:val="right"/>
          <w:rPr>
            <w:rFonts w:ascii="Aptos" w:hAnsi="Aptos"/>
            <w:color w:val="auto"/>
          </w:rPr>
        </w:pPr>
        <w:r w:rsidRPr="006134A6">
          <w:rPr>
            <w:rFonts w:ascii="Aptos" w:hAnsi="Aptos"/>
            <w:color w:val="auto"/>
          </w:rPr>
          <w:tab/>
          <w:t>Last Updated:</w:t>
        </w:r>
        <w:r>
          <w:rPr>
            <w:rFonts w:ascii="Aptos" w:hAnsi="Aptos"/>
            <w:color w:val="auto"/>
          </w:rPr>
          <w:t>0</w:t>
        </w:r>
        <w:r w:rsidRPr="006134A6">
          <w:rPr>
            <w:rFonts w:ascii="Aptos" w:hAnsi="Aptos"/>
            <w:color w:val="auto"/>
          </w:rPr>
          <w:t>6.2026</w:t>
        </w:r>
      </w:p>
      <w:p w14:paraId="02FD0C7E" w14:textId="51D340E6" w:rsidR="00A11B0E" w:rsidRPr="00D23625" w:rsidRDefault="00D23625" w:rsidP="00D23625">
        <w:pPr>
          <w:pStyle w:val="Footer"/>
          <w:tabs>
            <w:tab w:val="clear" w:pos="9360"/>
            <w:tab w:val="right" w:pos="10620"/>
          </w:tabs>
          <w:rPr>
            <w:rFonts w:cs="Calibri"/>
            <w:sz w:val="18"/>
            <w:szCs w:val="18"/>
          </w:rPr>
        </w:pPr>
        <w:r w:rsidRPr="006134A6">
          <w:rPr>
            <w:rFonts w:cs="Calibri"/>
            <w:sz w:val="18"/>
            <w:szCs w:val="18"/>
          </w:rPr>
          <w:tab/>
        </w:r>
        <w:r w:rsidRPr="006134A6">
          <w:rPr>
            <w:rFonts w:cs="Calibri"/>
            <w:sz w:val="18"/>
            <w:szCs w:val="18"/>
          </w:rPr>
          <w:tab/>
          <w:t xml:space="preserve"> </w:t>
        </w:r>
        <w:r w:rsidRPr="006134A6">
          <w:rPr>
            <w:rFonts w:cs="Calibri"/>
            <w:color w:val="7F7F7F" w:themeColor="background1" w:themeShade="7F"/>
            <w:spacing w:val="60"/>
            <w:sz w:val="18"/>
            <w:szCs w:val="18"/>
          </w:rPr>
          <w:t>Page</w:t>
        </w:r>
        <w:r w:rsidRPr="006134A6">
          <w:rPr>
            <w:rFonts w:cs="Calibri"/>
            <w:sz w:val="18"/>
            <w:szCs w:val="18"/>
          </w:rPr>
          <w:t xml:space="preserve"> | </w:t>
        </w:r>
        <w:r w:rsidRPr="006134A6">
          <w:rPr>
            <w:rFonts w:cs="Calibri"/>
            <w:bCs w:val="0"/>
            <w:sz w:val="18"/>
            <w:szCs w:val="18"/>
          </w:rPr>
          <w:fldChar w:fldCharType="begin"/>
        </w:r>
        <w:r w:rsidRPr="006134A6">
          <w:rPr>
            <w:rFonts w:cs="Calibri"/>
            <w:sz w:val="18"/>
            <w:szCs w:val="18"/>
          </w:rPr>
          <w:instrText xml:space="preserve"> PAGE   \* MERGEFORMAT </w:instrText>
        </w:r>
        <w:r w:rsidRPr="006134A6">
          <w:rPr>
            <w:rFonts w:cs="Calibri"/>
            <w:bCs w:val="0"/>
            <w:sz w:val="18"/>
            <w:szCs w:val="18"/>
          </w:rPr>
          <w:fldChar w:fldCharType="separate"/>
        </w:r>
        <w:r>
          <w:rPr>
            <w:rFonts w:cs="Calibri"/>
            <w:sz w:val="18"/>
            <w:szCs w:val="18"/>
          </w:rPr>
          <w:t>1</w:t>
        </w:r>
        <w:r w:rsidRPr="006134A6">
          <w:rPr>
            <w:rFonts w:cs="Calibri"/>
            <w:b/>
            <w:bCs w:val="0"/>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848F0" w14:textId="77777777" w:rsidR="002F494C" w:rsidRDefault="002F494C" w:rsidP="00935C44">
      <w:r>
        <w:separator/>
      </w:r>
    </w:p>
  </w:footnote>
  <w:footnote w:type="continuationSeparator" w:id="0">
    <w:p w14:paraId="2DFE63D4" w14:textId="77777777" w:rsidR="002F494C" w:rsidRDefault="002F494C" w:rsidP="00935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2138" w14:textId="1E492123" w:rsidR="00A11B0E" w:rsidRDefault="00A11B0E">
    <w:pPr>
      <w:pStyle w:val="Header"/>
    </w:pPr>
    <w:r>
      <w:rPr>
        <w:rFonts w:asciiTheme="majorHAnsi" w:hAnsiTheme="majorHAnsi" w:cstheme="majorHAnsi"/>
        <w:noProof/>
        <w:sz w:val="16"/>
        <w:szCs w:val="16"/>
      </w:rPr>
      <w:drawing>
        <wp:anchor distT="0" distB="0" distL="114300" distR="114300" simplePos="0" relativeHeight="251658240" behindDoc="0" locked="0" layoutInCell="1" allowOverlap="1" wp14:anchorId="7688FE8C" wp14:editId="28FBF312">
          <wp:simplePos x="0" y="0"/>
          <wp:positionH relativeFrom="column">
            <wp:posOffset>-3175</wp:posOffset>
          </wp:positionH>
          <wp:positionV relativeFrom="paragraph">
            <wp:posOffset>-365023</wp:posOffset>
          </wp:positionV>
          <wp:extent cx="1452703" cy="638175"/>
          <wp:effectExtent l="0" t="0" r="0" b="0"/>
          <wp:wrapSquare wrapText="bothSides"/>
          <wp:docPr id="7825986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61394" name="Picture 309061394"/>
                  <pic:cNvPicPr/>
                </pic:nvPicPr>
                <pic:blipFill>
                  <a:blip r:embed="rId1">
                    <a:extLst>
                      <a:ext uri="{28A0092B-C50C-407E-A947-70E740481C1C}">
                        <a14:useLocalDpi xmlns:a14="http://schemas.microsoft.com/office/drawing/2010/main" val="0"/>
                      </a:ext>
                    </a:extLst>
                  </a:blip>
                  <a:stretch>
                    <a:fillRect/>
                  </a:stretch>
                </pic:blipFill>
                <pic:spPr>
                  <a:xfrm>
                    <a:off x="0" y="0"/>
                    <a:ext cx="1452703" cy="638175"/>
                  </a:xfrm>
                  <a:prstGeom prst="rect">
                    <a:avLst/>
                  </a:prstGeom>
                </pic:spPr>
              </pic:pic>
            </a:graphicData>
          </a:graphic>
        </wp:anchor>
      </w:drawing>
    </w:r>
  </w:p>
  <w:p w14:paraId="055EFE63" w14:textId="77777777" w:rsidR="00AA744A" w:rsidRDefault="00AA7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F1870"/>
    <w:multiLevelType w:val="hybridMultilevel"/>
    <w:tmpl w:val="4588E646"/>
    <w:lvl w:ilvl="0" w:tplc="10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D1A4432"/>
    <w:multiLevelType w:val="hybridMultilevel"/>
    <w:tmpl w:val="D12292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F7894"/>
    <w:multiLevelType w:val="multilevel"/>
    <w:tmpl w:val="2D2A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D51925"/>
    <w:multiLevelType w:val="hybridMultilevel"/>
    <w:tmpl w:val="5B36C0A0"/>
    <w:lvl w:ilvl="0" w:tplc="10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DF1621F"/>
    <w:multiLevelType w:val="hybridMultilevel"/>
    <w:tmpl w:val="028024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52B0A32"/>
    <w:multiLevelType w:val="hybridMultilevel"/>
    <w:tmpl w:val="FD566926"/>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905F87"/>
    <w:multiLevelType w:val="multilevel"/>
    <w:tmpl w:val="339E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A80457"/>
    <w:multiLevelType w:val="hybridMultilevel"/>
    <w:tmpl w:val="66EA8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C7F56"/>
    <w:multiLevelType w:val="hybridMultilevel"/>
    <w:tmpl w:val="C40211E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D2C223C"/>
    <w:multiLevelType w:val="multilevel"/>
    <w:tmpl w:val="39AE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273E38"/>
    <w:multiLevelType w:val="hybridMultilevel"/>
    <w:tmpl w:val="6E1CCBC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63560BB"/>
    <w:multiLevelType w:val="hybridMultilevel"/>
    <w:tmpl w:val="7BA85B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6ED628C"/>
    <w:multiLevelType w:val="hybridMultilevel"/>
    <w:tmpl w:val="2A464D4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98D28DA"/>
    <w:multiLevelType w:val="hybridMultilevel"/>
    <w:tmpl w:val="FD7E7B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B557DB4"/>
    <w:multiLevelType w:val="hybridMultilevel"/>
    <w:tmpl w:val="520042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008411D"/>
    <w:multiLevelType w:val="hybridMultilevel"/>
    <w:tmpl w:val="48E269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4D740FB"/>
    <w:multiLevelType w:val="multilevel"/>
    <w:tmpl w:val="6B42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5622FB"/>
    <w:multiLevelType w:val="hybridMultilevel"/>
    <w:tmpl w:val="482078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4115A52"/>
    <w:multiLevelType w:val="hybridMultilevel"/>
    <w:tmpl w:val="190E8D54"/>
    <w:lvl w:ilvl="0" w:tplc="10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55DE7035"/>
    <w:multiLevelType w:val="hybridMultilevel"/>
    <w:tmpl w:val="C4B03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F730EAF"/>
    <w:multiLevelType w:val="hybridMultilevel"/>
    <w:tmpl w:val="91C00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142755D"/>
    <w:multiLevelType w:val="hybridMultilevel"/>
    <w:tmpl w:val="685E7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61F03BF"/>
    <w:multiLevelType w:val="hybridMultilevel"/>
    <w:tmpl w:val="40F0A8F0"/>
    <w:lvl w:ilvl="0" w:tplc="9230AED0">
      <w:start w:val="1"/>
      <w:numFmt w:val="decimal"/>
      <w:lvlText w:val="%1."/>
      <w:lvlJc w:val="left"/>
      <w:pPr>
        <w:ind w:left="720" w:hanging="360"/>
      </w:pPr>
      <w:rPr>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70E5973"/>
    <w:multiLevelType w:val="hybridMultilevel"/>
    <w:tmpl w:val="C06C96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9A35E6"/>
    <w:multiLevelType w:val="hybridMultilevel"/>
    <w:tmpl w:val="D8E2E5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9DB46B6"/>
    <w:multiLevelType w:val="hybridMultilevel"/>
    <w:tmpl w:val="F43091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DC9007D"/>
    <w:multiLevelType w:val="multilevel"/>
    <w:tmpl w:val="B2A0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2D7122"/>
    <w:multiLevelType w:val="multilevel"/>
    <w:tmpl w:val="DFC2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3A4373"/>
    <w:multiLevelType w:val="hybridMultilevel"/>
    <w:tmpl w:val="84AC234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E8F198E"/>
    <w:multiLevelType w:val="hybridMultilevel"/>
    <w:tmpl w:val="2A464D46"/>
    <w:lvl w:ilvl="0" w:tplc="FFFFFFFF">
      <w:start w:val="1"/>
      <w:numFmt w:val="upperLetter"/>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num w:numId="1" w16cid:durableId="920217684">
    <w:abstractNumId w:val="8"/>
  </w:num>
  <w:num w:numId="2" w16cid:durableId="6030343">
    <w:abstractNumId w:val="6"/>
  </w:num>
  <w:num w:numId="3" w16cid:durableId="499739297">
    <w:abstractNumId w:val="5"/>
  </w:num>
  <w:num w:numId="4" w16cid:durableId="61874440">
    <w:abstractNumId w:val="4"/>
  </w:num>
  <w:num w:numId="5" w16cid:durableId="48699223">
    <w:abstractNumId w:val="7"/>
  </w:num>
  <w:num w:numId="6" w16cid:durableId="591594988">
    <w:abstractNumId w:val="3"/>
  </w:num>
  <w:num w:numId="7" w16cid:durableId="1579706782">
    <w:abstractNumId w:val="2"/>
  </w:num>
  <w:num w:numId="8" w16cid:durableId="1672685509">
    <w:abstractNumId w:val="1"/>
  </w:num>
  <w:num w:numId="9" w16cid:durableId="1970743670">
    <w:abstractNumId w:val="0"/>
  </w:num>
  <w:num w:numId="10" w16cid:durableId="886186915">
    <w:abstractNumId w:val="29"/>
  </w:num>
  <w:num w:numId="11" w16cid:durableId="867377832">
    <w:abstractNumId w:val="20"/>
  </w:num>
  <w:num w:numId="12" w16cid:durableId="524634770">
    <w:abstractNumId w:val="37"/>
  </w:num>
  <w:num w:numId="13" w16cid:durableId="422267446">
    <w:abstractNumId w:val="22"/>
  </w:num>
  <w:num w:numId="14" w16cid:durableId="1081027753">
    <w:abstractNumId w:val="21"/>
  </w:num>
  <w:num w:numId="15" w16cid:durableId="377051006">
    <w:abstractNumId w:val="28"/>
  </w:num>
  <w:num w:numId="16" w16cid:durableId="1192375480">
    <w:abstractNumId w:val="9"/>
  </w:num>
  <w:num w:numId="17" w16cid:durableId="1491864829">
    <w:abstractNumId w:val="14"/>
  </w:num>
  <w:num w:numId="18" w16cid:durableId="1103960708">
    <w:abstractNumId w:val="31"/>
  </w:num>
  <w:num w:numId="19" w16cid:durableId="18360176">
    <w:abstractNumId w:val="38"/>
  </w:num>
  <w:num w:numId="20" w16cid:durableId="2106877608">
    <w:abstractNumId w:val="18"/>
  </w:num>
  <w:num w:numId="21" w16cid:durableId="1873953988">
    <w:abstractNumId w:val="36"/>
  </w:num>
  <w:num w:numId="22" w16cid:durableId="1341353353">
    <w:abstractNumId w:val="34"/>
  </w:num>
  <w:num w:numId="23" w16cid:durableId="1603953487">
    <w:abstractNumId w:val="16"/>
  </w:num>
  <w:num w:numId="24" w16cid:durableId="1745949033">
    <w:abstractNumId w:val="15"/>
  </w:num>
  <w:num w:numId="25" w16cid:durableId="200216330">
    <w:abstractNumId w:val="25"/>
  </w:num>
  <w:num w:numId="26" w16cid:durableId="1479108802">
    <w:abstractNumId w:val="12"/>
  </w:num>
  <w:num w:numId="27" w16cid:durableId="1189759247">
    <w:abstractNumId w:val="27"/>
  </w:num>
  <w:num w:numId="28" w16cid:durableId="1201632029">
    <w:abstractNumId w:val="11"/>
  </w:num>
  <w:num w:numId="29" w16cid:durableId="1889295848">
    <w:abstractNumId w:val="35"/>
  </w:num>
  <w:num w:numId="30" w16cid:durableId="367948979">
    <w:abstractNumId w:val="26"/>
  </w:num>
  <w:num w:numId="31" w16cid:durableId="1765029814">
    <w:abstractNumId w:val="10"/>
  </w:num>
  <w:num w:numId="32" w16cid:durableId="1727946282">
    <w:abstractNumId w:val="17"/>
  </w:num>
  <w:num w:numId="33" w16cid:durableId="1264217469">
    <w:abstractNumId w:val="19"/>
  </w:num>
  <w:num w:numId="34" w16cid:durableId="848906322">
    <w:abstractNumId w:val="24"/>
  </w:num>
  <w:num w:numId="35" w16cid:durableId="156506861">
    <w:abstractNumId w:val="13"/>
  </w:num>
  <w:num w:numId="36" w16cid:durableId="2127652318">
    <w:abstractNumId w:val="23"/>
  </w:num>
  <w:num w:numId="37" w16cid:durableId="192234392">
    <w:abstractNumId w:val="33"/>
  </w:num>
  <w:num w:numId="38" w16cid:durableId="1586379828">
    <w:abstractNumId w:val="30"/>
  </w:num>
  <w:num w:numId="39" w16cid:durableId="154999800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58"/>
    <w:rsid w:val="00005777"/>
    <w:rsid w:val="00015052"/>
    <w:rsid w:val="000208EE"/>
    <w:rsid w:val="0003127D"/>
    <w:rsid w:val="00031E74"/>
    <w:rsid w:val="00034616"/>
    <w:rsid w:val="000518BF"/>
    <w:rsid w:val="0006063C"/>
    <w:rsid w:val="000A5B6C"/>
    <w:rsid w:val="000C43AE"/>
    <w:rsid w:val="000E419C"/>
    <w:rsid w:val="000F1780"/>
    <w:rsid w:val="00112674"/>
    <w:rsid w:val="00120654"/>
    <w:rsid w:val="00135EA6"/>
    <w:rsid w:val="001410A6"/>
    <w:rsid w:val="0015074B"/>
    <w:rsid w:val="00162C5B"/>
    <w:rsid w:val="00172845"/>
    <w:rsid w:val="001859A1"/>
    <w:rsid w:val="00194D63"/>
    <w:rsid w:val="001A3C85"/>
    <w:rsid w:val="00263FC1"/>
    <w:rsid w:val="002727DA"/>
    <w:rsid w:val="00272A4A"/>
    <w:rsid w:val="002862D7"/>
    <w:rsid w:val="0029639D"/>
    <w:rsid w:val="002A6985"/>
    <w:rsid w:val="002F494C"/>
    <w:rsid w:val="00303071"/>
    <w:rsid w:val="00326F90"/>
    <w:rsid w:val="00330FB3"/>
    <w:rsid w:val="00353093"/>
    <w:rsid w:val="004017FC"/>
    <w:rsid w:val="00404942"/>
    <w:rsid w:val="004136AB"/>
    <w:rsid w:val="00461A99"/>
    <w:rsid w:val="00475D04"/>
    <w:rsid w:val="00491BC3"/>
    <w:rsid w:val="004B5FB4"/>
    <w:rsid w:val="004C5144"/>
    <w:rsid w:val="004E7E16"/>
    <w:rsid w:val="005154C3"/>
    <w:rsid w:val="00536D44"/>
    <w:rsid w:val="00562DF3"/>
    <w:rsid w:val="0056692F"/>
    <w:rsid w:val="00576102"/>
    <w:rsid w:val="00590A18"/>
    <w:rsid w:val="005A064D"/>
    <w:rsid w:val="005C121A"/>
    <w:rsid w:val="005D7B03"/>
    <w:rsid w:val="005E2892"/>
    <w:rsid w:val="00603FA9"/>
    <w:rsid w:val="00616A0D"/>
    <w:rsid w:val="00625C46"/>
    <w:rsid w:val="006323CA"/>
    <w:rsid w:val="0064173B"/>
    <w:rsid w:val="0065697D"/>
    <w:rsid w:val="00657B31"/>
    <w:rsid w:val="006608E3"/>
    <w:rsid w:val="00662538"/>
    <w:rsid w:val="006775AC"/>
    <w:rsid w:val="00691B59"/>
    <w:rsid w:val="006B3969"/>
    <w:rsid w:val="006B512E"/>
    <w:rsid w:val="006D4F24"/>
    <w:rsid w:val="0073658C"/>
    <w:rsid w:val="00777A40"/>
    <w:rsid w:val="007A2BCF"/>
    <w:rsid w:val="007B3ED5"/>
    <w:rsid w:val="007D7624"/>
    <w:rsid w:val="007E3338"/>
    <w:rsid w:val="007F07DE"/>
    <w:rsid w:val="00820B72"/>
    <w:rsid w:val="00845253"/>
    <w:rsid w:val="008C399F"/>
    <w:rsid w:val="00926415"/>
    <w:rsid w:val="00935C44"/>
    <w:rsid w:val="009559D5"/>
    <w:rsid w:val="00994805"/>
    <w:rsid w:val="009C3EF8"/>
    <w:rsid w:val="009E2E6A"/>
    <w:rsid w:val="00A11B0E"/>
    <w:rsid w:val="00A3006D"/>
    <w:rsid w:val="00A52975"/>
    <w:rsid w:val="00A5752C"/>
    <w:rsid w:val="00A62202"/>
    <w:rsid w:val="00A80374"/>
    <w:rsid w:val="00A87A23"/>
    <w:rsid w:val="00AA1D8D"/>
    <w:rsid w:val="00AA744A"/>
    <w:rsid w:val="00AC678B"/>
    <w:rsid w:val="00AD7040"/>
    <w:rsid w:val="00AE7238"/>
    <w:rsid w:val="00B01007"/>
    <w:rsid w:val="00B1345D"/>
    <w:rsid w:val="00B22DB6"/>
    <w:rsid w:val="00B306C3"/>
    <w:rsid w:val="00B43E98"/>
    <w:rsid w:val="00B47730"/>
    <w:rsid w:val="00B72303"/>
    <w:rsid w:val="00B776A6"/>
    <w:rsid w:val="00C3671D"/>
    <w:rsid w:val="00C444BF"/>
    <w:rsid w:val="00C600F5"/>
    <w:rsid w:val="00C90A92"/>
    <w:rsid w:val="00CB0664"/>
    <w:rsid w:val="00CC1696"/>
    <w:rsid w:val="00D01E93"/>
    <w:rsid w:val="00D070F6"/>
    <w:rsid w:val="00D23625"/>
    <w:rsid w:val="00D675A8"/>
    <w:rsid w:val="00DB0DED"/>
    <w:rsid w:val="00DC31C4"/>
    <w:rsid w:val="00DE7519"/>
    <w:rsid w:val="00DF4616"/>
    <w:rsid w:val="00E13DBF"/>
    <w:rsid w:val="00E17197"/>
    <w:rsid w:val="00E57C0F"/>
    <w:rsid w:val="00E6149D"/>
    <w:rsid w:val="00E6692B"/>
    <w:rsid w:val="00E73210"/>
    <w:rsid w:val="00E84930"/>
    <w:rsid w:val="00E92BFB"/>
    <w:rsid w:val="00E94833"/>
    <w:rsid w:val="00EA3E7E"/>
    <w:rsid w:val="00EB31E6"/>
    <w:rsid w:val="00EC7717"/>
    <w:rsid w:val="00ED1257"/>
    <w:rsid w:val="00EE4739"/>
    <w:rsid w:val="00F101EA"/>
    <w:rsid w:val="00F22E78"/>
    <w:rsid w:val="00F83B66"/>
    <w:rsid w:val="00FA1EEA"/>
    <w:rsid w:val="00FA3155"/>
    <w:rsid w:val="00FB6D59"/>
    <w:rsid w:val="00FC693F"/>
    <w:rsid w:val="00FC7575"/>
    <w:rsid w:val="00FD71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B9C08BA-A25C-4C78-9636-3C6595FD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44"/>
    <w:rPr>
      <w:rFonts w:ascii="Aptos" w:hAnsi="Aptos"/>
      <w:bCs/>
    </w:rPr>
  </w:style>
  <w:style w:type="paragraph" w:styleId="Heading1">
    <w:name w:val="heading 1"/>
    <w:basedOn w:val="Normal"/>
    <w:next w:val="Normal"/>
    <w:link w:val="Heading1Char"/>
    <w:uiPriority w:val="9"/>
    <w:qFormat/>
    <w:rsid w:val="002A6985"/>
    <w:pPr>
      <w:keepNext/>
      <w:keepLines/>
      <w:spacing w:before="120" w:after="0"/>
      <w:jc w:val="center"/>
      <w:outlineLvl w:val="0"/>
    </w:pPr>
    <w:rPr>
      <w:rFonts w:asciiTheme="majorHAnsi" w:eastAsiaTheme="majorEastAsia" w:hAnsiTheme="majorHAnsi" w:cstheme="majorBidi"/>
      <w:b/>
      <w:bCs w:val="0"/>
      <w:color w:val="273276" w:themeColor="accent2"/>
      <w:sz w:val="40"/>
      <w:szCs w:val="40"/>
    </w:rPr>
  </w:style>
  <w:style w:type="paragraph" w:styleId="Heading2">
    <w:name w:val="heading 2"/>
    <w:basedOn w:val="Normal"/>
    <w:next w:val="Normal"/>
    <w:link w:val="Heading2Char"/>
    <w:uiPriority w:val="9"/>
    <w:unhideWhenUsed/>
    <w:qFormat/>
    <w:rsid w:val="00C90A92"/>
    <w:pPr>
      <w:outlineLvl w:val="1"/>
    </w:pPr>
    <w:rPr>
      <w:rFonts w:asciiTheme="majorHAnsi" w:hAnsiTheme="majorHAnsi"/>
      <w:b/>
      <w:bCs w:val="0"/>
      <w:color w:val="273276" w:themeColor="accent2"/>
      <w:sz w:val="32"/>
      <w:szCs w:val="32"/>
    </w:rPr>
  </w:style>
  <w:style w:type="paragraph" w:styleId="Heading3">
    <w:name w:val="heading 3"/>
    <w:basedOn w:val="Normal"/>
    <w:next w:val="Normal"/>
    <w:link w:val="Heading3Char"/>
    <w:uiPriority w:val="9"/>
    <w:unhideWhenUsed/>
    <w:qFormat/>
    <w:rsid w:val="00005777"/>
    <w:pPr>
      <w:keepNext/>
      <w:keepLines/>
      <w:spacing w:before="200" w:after="0"/>
      <w:ind w:left="720"/>
      <w:outlineLvl w:val="2"/>
    </w:pPr>
    <w:rPr>
      <w:rFonts w:asciiTheme="majorHAnsi" w:eastAsiaTheme="majorEastAsia" w:hAnsiTheme="majorHAnsi" w:cstheme="majorBidi"/>
      <w:b/>
      <w:bCs w:val="0"/>
      <w:i/>
      <w:iCs/>
      <w:color w:val="273276" w:themeColor="accent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val="0"/>
      <w:i/>
      <w:iCs/>
      <w:color w:val="A67B2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523D16"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523D16"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A67B2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2A6985"/>
    <w:rPr>
      <w:rFonts w:asciiTheme="majorHAnsi" w:eastAsiaTheme="majorEastAsia" w:hAnsiTheme="majorHAnsi" w:cstheme="majorBidi"/>
      <w:b/>
      <w:color w:val="273276" w:themeColor="accent2"/>
      <w:sz w:val="40"/>
      <w:szCs w:val="40"/>
    </w:rPr>
  </w:style>
  <w:style w:type="character" w:customStyle="1" w:styleId="Heading2Char">
    <w:name w:val="Heading 2 Char"/>
    <w:basedOn w:val="DefaultParagraphFont"/>
    <w:link w:val="Heading2"/>
    <w:uiPriority w:val="9"/>
    <w:rsid w:val="00C90A92"/>
    <w:rPr>
      <w:rFonts w:asciiTheme="majorHAnsi" w:hAnsiTheme="majorHAnsi"/>
      <w:b/>
      <w:color w:val="273276" w:themeColor="accent2"/>
      <w:sz w:val="32"/>
      <w:szCs w:val="32"/>
    </w:rPr>
  </w:style>
  <w:style w:type="character" w:customStyle="1" w:styleId="Heading3Char">
    <w:name w:val="Heading 3 Char"/>
    <w:basedOn w:val="DefaultParagraphFont"/>
    <w:link w:val="Heading3"/>
    <w:uiPriority w:val="9"/>
    <w:rsid w:val="00005777"/>
    <w:rPr>
      <w:rFonts w:asciiTheme="majorHAnsi" w:eastAsiaTheme="majorEastAsia" w:hAnsiTheme="majorHAnsi" w:cstheme="majorBidi"/>
      <w:b/>
      <w:i/>
      <w:iCs/>
      <w:color w:val="273276" w:themeColor="accent2"/>
      <w:sz w:val="28"/>
      <w:szCs w:val="28"/>
    </w:rPr>
  </w:style>
  <w:style w:type="paragraph" w:styleId="Title">
    <w:name w:val="Title"/>
    <w:basedOn w:val="Normal"/>
    <w:next w:val="Normal"/>
    <w:link w:val="TitleChar"/>
    <w:uiPriority w:val="10"/>
    <w:qFormat/>
    <w:rsid w:val="00FC693F"/>
    <w:pPr>
      <w:pBdr>
        <w:bottom w:val="single" w:sz="8" w:space="4" w:color="A67B2D" w:themeColor="accent1"/>
      </w:pBdr>
      <w:spacing w:after="300" w:line="240" w:lineRule="auto"/>
      <w:contextualSpacing/>
    </w:pPr>
    <w:rPr>
      <w:rFonts w:asciiTheme="majorHAnsi" w:eastAsiaTheme="majorEastAsia" w:hAnsiTheme="majorHAnsi" w:cstheme="majorBidi"/>
      <w:color w:val="474747"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474747"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A67B2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A67B2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A67B2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523D16"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523D16"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A67B2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val="0"/>
      <w:color w:val="A67B2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A67B2D" w:themeColor="accent1"/>
      </w:pBdr>
      <w:spacing w:before="200" w:after="280"/>
      <w:ind w:left="936" w:right="936"/>
    </w:pPr>
    <w:rPr>
      <w:b/>
      <w:bCs w:val="0"/>
      <w:i/>
      <w:iCs/>
      <w:color w:val="A67B2D" w:themeColor="accent1"/>
    </w:rPr>
  </w:style>
  <w:style w:type="character" w:customStyle="1" w:styleId="IntenseQuoteChar">
    <w:name w:val="Intense Quote Char"/>
    <w:basedOn w:val="DefaultParagraphFont"/>
    <w:link w:val="IntenseQuote"/>
    <w:uiPriority w:val="30"/>
    <w:rsid w:val="00FC693F"/>
    <w:rPr>
      <w:b/>
      <w:bCs/>
      <w:i/>
      <w:iCs/>
      <w:color w:val="A67B2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A67B2D" w:themeColor="accent1"/>
    </w:rPr>
  </w:style>
  <w:style w:type="character" w:styleId="SubtleReference">
    <w:name w:val="Subtle Reference"/>
    <w:basedOn w:val="DefaultParagraphFont"/>
    <w:uiPriority w:val="31"/>
    <w:qFormat/>
    <w:rsid w:val="00FC693F"/>
    <w:rPr>
      <w:smallCaps/>
      <w:color w:val="273276" w:themeColor="accent2"/>
      <w:u w:val="single"/>
    </w:rPr>
  </w:style>
  <w:style w:type="character" w:styleId="IntenseReference">
    <w:name w:val="Intense Reference"/>
    <w:basedOn w:val="DefaultParagraphFont"/>
    <w:uiPriority w:val="32"/>
    <w:qFormat/>
    <w:rsid w:val="00FC693F"/>
    <w:rPr>
      <w:b/>
      <w:bCs/>
      <w:smallCaps/>
      <w:color w:val="27327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7C5B21" w:themeColor="accent1" w:themeShade="BF"/>
    </w:rPr>
    <w:tblPr>
      <w:tblStyleRowBandSize w:val="1"/>
      <w:tblStyleColBandSize w:val="1"/>
      <w:tblBorders>
        <w:top w:val="single" w:sz="8" w:space="0" w:color="A67B2D" w:themeColor="accent1"/>
        <w:bottom w:val="single" w:sz="8" w:space="0" w:color="A67B2D" w:themeColor="accent1"/>
      </w:tblBorders>
    </w:tblPr>
    <w:tblStylePr w:type="firstRow">
      <w:pPr>
        <w:spacing w:before="0" w:after="0" w:line="240" w:lineRule="auto"/>
      </w:pPr>
      <w:rPr>
        <w:b/>
        <w:bCs/>
      </w:rPr>
      <w:tblPr/>
      <w:tcPr>
        <w:tcBorders>
          <w:top w:val="single" w:sz="8" w:space="0" w:color="A67B2D" w:themeColor="accent1"/>
          <w:left w:val="nil"/>
          <w:bottom w:val="single" w:sz="8" w:space="0" w:color="A67B2D" w:themeColor="accent1"/>
          <w:right w:val="nil"/>
          <w:insideH w:val="nil"/>
          <w:insideV w:val="nil"/>
        </w:tcBorders>
      </w:tcPr>
    </w:tblStylePr>
    <w:tblStylePr w:type="lastRow">
      <w:pPr>
        <w:spacing w:before="0" w:after="0" w:line="240" w:lineRule="auto"/>
      </w:pPr>
      <w:rPr>
        <w:b/>
        <w:bCs/>
      </w:rPr>
      <w:tblPr/>
      <w:tcPr>
        <w:tcBorders>
          <w:top w:val="single" w:sz="8" w:space="0" w:color="A67B2D" w:themeColor="accent1"/>
          <w:left w:val="nil"/>
          <w:bottom w:val="single" w:sz="8" w:space="0" w:color="A67B2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0C4" w:themeFill="accent1" w:themeFillTint="3F"/>
      </w:tcPr>
    </w:tblStylePr>
    <w:tblStylePr w:type="band1Horz">
      <w:tblPr/>
      <w:tcPr>
        <w:tcBorders>
          <w:left w:val="nil"/>
          <w:right w:val="nil"/>
          <w:insideH w:val="nil"/>
          <w:insideV w:val="nil"/>
        </w:tcBorders>
        <w:shd w:val="clear" w:color="auto" w:fill="EFE0C4" w:themeFill="accent1" w:themeFillTint="3F"/>
      </w:tcPr>
    </w:tblStylePr>
  </w:style>
  <w:style w:type="table" w:styleId="LightShading-Accent2">
    <w:name w:val="Light Shading Accent 2"/>
    <w:basedOn w:val="TableNormal"/>
    <w:uiPriority w:val="60"/>
    <w:rsid w:val="00FC693F"/>
    <w:pPr>
      <w:spacing w:after="0" w:line="240" w:lineRule="auto"/>
    </w:pPr>
    <w:rPr>
      <w:color w:val="1D2558" w:themeColor="accent2" w:themeShade="BF"/>
    </w:rPr>
    <w:tblPr>
      <w:tblStyleRowBandSize w:val="1"/>
      <w:tblStyleColBandSize w:val="1"/>
      <w:tblBorders>
        <w:top w:val="single" w:sz="8" w:space="0" w:color="273276" w:themeColor="accent2"/>
        <w:bottom w:val="single" w:sz="8" w:space="0" w:color="273276" w:themeColor="accent2"/>
      </w:tblBorders>
    </w:tblPr>
    <w:tblStylePr w:type="firstRow">
      <w:pPr>
        <w:spacing w:before="0" w:after="0" w:line="240" w:lineRule="auto"/>
      </w:pPr>
      <w:rPr>
        <w:b/>
        <w:bCs/>
      </w:rPr>
      <w:tblPr/>
      <w:tcPr>
        <w:tcBorders>
          <w:top w:val="single" w:sz="8" w:space="0" w:color="273276" w:themeColor="accent2"/>
          <w:left w:val="nil"/>
          <w:bottom w:val="single" w:sz="8" w:space="0" w:color="273276" w:themeColor="accent2"/>
          <w:right w:val="nil"/>
          <w:insideH w:val="nil"/>
          <w:insideV w:val="nil"/>
        </w:tcBorders>
      </w:tcPr>
    </w:tblStylePr>
    <w:tblStylePr w:type="lastRow">
      <w:pPr>
        <w:spacing w:before="0" w:after="0" w:line="240" w:lineRule="auto"/>
      </w:pPr>
      <w:rPr>
        <w:b/>
        <w:bCs/>
      </w:rPr>
      <w:tblPr/>
      <w:tcPr>
        <w:tcBorders>
          <w:top w:val="single" w:sz="8" w:space="0" w:color="273276" w:themeColor="accent2"/>
          <w:left w:val="nil"/>
          <w:bottom w:val="single" w:sz="8" w:space="0" w:color="27327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C3E9" w:themeFill="accent2" w:themeFillTint="3F"/>
      </w:tcPr>
    </w:tblStylePr>
    <w:tblStylePr w:type="band1Horz">
      <w:tblPr/>
      <w:tcPr>
        <w:tcBorders>
          <w:left w:val="nil"/>
          <w:right w:val="nil"/>
          <w:insideH w:val="nil"/>
          <w:insideV w:val="nil"/>
        </w:tcBorders>
        <w:shd w:val="clear" w:color="auto" w:fill="BDC3E9" w:themeFill="accent2" w:themeFillTint="3F"/>
      </w:tcPr>
    </w:tblStylePr>
  </w:style>
  <w:style w:type="table" w:styleId="LightShading-Accent3">
    <w:name w:val="Light Shading Accent 3"/>
    <w:basedOn w:val="TableNormal"/>
    <w:uiPriority w:val="60"/>
    <w:rsid w:val="00FC693F"/>
    <w:pPr>
      <w:spacing w:after="0" w:line="240" w:lineRule="auto"/>
    </w:pPr>
    <w:rPr>
      <w:color w:val="41077D" w:themeColor="accent3" w:themeShade="BF"/>
    </w:rPr>
    <w:tblPr>
      <w:tblStyleRowBandSize w:val="1"/>
      <w:tblStyleColBandSize w:val="1"/>
      <w:tblBorders>
        <w:top w:val="single" w:sz="8" w:space="0" w:color="580AA8" w:themeColor="accent3"/>
        <w:bottom w:val="single" w:sz="8" w:space="0" w:color="580AA8" w:themeColor="accent3"/>
      </w:tblBorders>
    </w:tblPr>
    <w:tblStylePr w:type="firstRow">
      <w:pPr>
        <w:spacing w:before="0" w:after="0" w:line="240" w:lineRule="auto"/>
      </w:pPr>
      <w:rPr>
        <w:b/>
        <w:bCs/>
      </w:rPr>
      <w:tblPr/>
      <w:tcPr>
        <w:tcBorders>
          <w:top w:val="single" w:sz="8" w:space="0" w:color="580AA8" w:themeColor="accent3"/>
          <w:left w:val="nil"/>
          <w:bottom w:val="single" w:sz="8" w:space="0" w:color="580AA8" w:themeColor="accent3"/>
          <w:right w:val="nil"/>
          <w:insideH w:val="nil"/>
          <w:insideV w:val="nil"/>
        </w:tcBorders>
      </w:tcPr>
    </w:tblStylePr>
    <w:tblStylePr w:type="lastRow">
      <w:pPr>
        <w:spacing w:before="0" w:after="0" w:line="240" w:lineRule="auto"/>
      </w:pPr>
      <w:rPr>
        <w:b/>
        <w:bCs/>
      </w:rPr>
      <w:tblPr/>
      <w:tcPr>
        <w:tcBorders>
          <w:top w:val="single" w:sz="8" w:space="0" w:color="580AA8" w:themeColor="accent3"/>
          <w:left w:val="nil"/>
          <w:bottom w:val="single" w:sz="8" w:space="0" w:color="580AA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B1FA" w:themeFill="accent3" w:themeFillTint="3F"/>
      </w:tcPr>
    </w:tblStylePr>
    <w:tblStylePr w:type="band1Horz">
      <w:tblPr/>
      <w:tcPr>
        <w:tcBorders>
          <w:left w:val="nil"/>
          <w:right w:val="nil"/>
          <w:insideH w:val="nil"/>
          <w:insideV w:val="nil"/>
        </w:tcBorders>
        <w:shd w:val="clear" w:color="auto" w:fill="D5B1FA" w:themeFill="accent3" w:themeFillTint="3F"/>
      </w:tcPr>
    </w:tblStylePr>
  </w:style>
  <w:style w:type="table" w:styleId="LightShading-Accent4">
    <w:name w:val="Light Shading Accent 4"/>
    <w:basedOn w:val="TableNormal"/>
    <w:uiPriority w:val="60"/>
    <w:rsid w:val="00FC693F"/>
    <w:pPr>
      <w:spacing w:after="0" w:line="240" w:lineRule="auto"/>
    </w:pPr>
    <w:rPr>
      <w:color w:val="0083B3" w:themeColor="accent4" w:themeShade="BF"/>
    </w:rPr>
    <w:tblPr>
      <w:tblStyleRowBandSize w:val="1"/>
      <w:tblStyleColBandSize w:val="1"/>
      <w:tblBorders>
        <w:top w:val="single" w:sz="8" w:space="0" w:color="00B0F0" w:themeColor="accent4"/>
        <w:bottom w:val="single" w:sz="8" w:space="0" w:color="00B0F0" w:themeColor="accent4"/>
      </w:tblBorders>
    </w:tblPr>
    <w:tblStylePr w:type="firstRow">
      <w:pPr>
        <w:spacing w:before="0" w:after="0" w:line="240" w:lineRule="auto"/>
      </w:pPr>
      <w:rPr>
        <w:b/>
        <w:bCs/>
      </w:rPr>
      <w:tblPr/>
      <w:tcPr>
        <w:tcBorders>
          <w:top w:val="single" w:sz="8" w:space="0" w:color="00B0F0" w:themeColor="accent4"/>
          <w:left w:val="nil"/>
          <w:bottom w:val="single" w:sz="8" w:space="0" w:color="00B0F0" w:themeColor="accent4"/>
          <w:right w:val="nil"/>
          <w:insideH w:val="nil"/>
          <w:insideV w:val="nil"/>
        </w:tcBorders>
      </w:tcPr>
    </w:tblStylePr>
    <w:tblStylePr w:type="lastRow">
      <w:pPr>
        <w:spacing w:before="0" w:after="0" w:line="240" w:lineRule="auto"/>
      </w:pPr>
      <w:rPr>
        <w:b/>
        <w:bCs/>
      </w:rPr>
      <w:tblPr/>
      <w:tcPr>
        <w:tcBorders>
          <w:top w:val="single" w:sz="8" w:space="0" w:color="00B0F0" w:themeColor="accent4"/>
          <w:left w:val="nil"/>
          <w:bottom w:val="single" w:sz="8" w:space="0" w:color="00B0F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DFF" w:themeFill="accent4" w:themeFillTint="3F"/>
      </w:tcPr>
    </w:tblStylePr>
    <w:tblStylePr w:type="band1Horz">
      <w:tblPr/>
      <w:tcPr>
        <w:tcBorders>
          <w:left w:val="nil"/>
          <w:right w:val="nil"/>
          <w:insideH w:val="nil"/>
          <w:insideV w:val="nil"/>
        </w:tcBorders>
        <w:shd w:val="clear" w:color="auto" w:fill="BCEDFF" w:themeFill="accent4" w:themeFillTint="3F"/>
      </w:tcPr>
    </w:tblStylePr>
  </w:style>
  <w:style w:type="table" w:styleId="LightShading-Accent5">
    <w:name w:val="Light Shading Accent 5"/>
    <w:basedOn w:val="TableNormal"/>
    <w:uiPriority w:val="60"/>
    <w:rsid w:val="00FC693F"/>
    <w:pPr>
      <w:spacing w:after="0" w:line="240" w:lineRule="auto"/>
    </w:pPr>
    <w:rPr>
      <w:color w:val="007200" w:themeColor="accent5" w:themeShade="BF"/>
    </w:rPr>
    <w:tblPr>
      <w:tblStyleRowBandSize w:val="1"/>
      <w:tblStyleColBandSize w:val="1"/>
      <w:tblBorders>
        <w:top w:val="single" w:sz="8" w:space="0" w:color="009900" w:themeColor="accent5"/>
        <w:bottom w:val="single" w:sz="8" w:space="0" w:color="009900" w:themeColor="accent5"/>
      </w:tblBorders>
    </w:tblPr>
    <w:tblStylePr w:type="firstRow">
      <w:pPr>
        <w:spacing w:before="0" w:after="0" w:line="240" w:lineRule="auto"/>
      </w:pPr>
      <w:rPr>
        <w:b/>
        <w:bCs/>
      </w:rPr>
      <w:tblPr/>
      <w:tcPr>
        <w:tcBorders>
          <w:top w:val="single" w:sz="8" w:space="0" w:color="009900" w:themeColor="accent5"/>
          <w:left w:val="nil"/>
          <w:bottom w:val="single" w:sz="8" w:space="0" w:color="009900" w:themeColor="accent5"/>
          <w:right w:val="nil"/>
          <w:insideH w:val="nil"/>
          <w:insideV w:val="nil"/>
        </w:tcBorders>
      </w:tcPr>
    </w:tblStylePr>
    <w:tblStylePr w:type="lastRow">
      <w:pPr>
        <w:spacing w:before="0" w:after="0" w:line="240" w:lineRule="auto"/>
      </w:pPr>
      <w:rPr>
        <w:b/>
        <w:bCs/>
      </w:rPr>
      <w:tblPr/>
      <w:tcPr>
        <w:tcBorders>
          <w:top w:val="single" w:sz="8" w:space="0" w:color="009900" w:themeColor="accent5"/>
          <w:left w:val="nil"/>
          <w:bottom w:val="single" w:sz="8" w:space="0" w:color="00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A6" w:themeFill="accent5" w:themeFillTint="3F"/>
      </w:tcPr>
    </w:tblStylePr>
    <w:tblStylePr w:type="band1Horz">
      <w:tblPr/>
      <w:tcPr>
        <w:tcBorders>
          <w:left w:val="nil"/>
          <w:right w:val="nil"/>
          <w:insideH w:val="nil"/>
          <w:insideV w:val="nil"/>
        </w:tcBorders>
        <w:shd w:val="clear" w:color="auto" w:fill="A6FFA6" w:themeFill="accent5" w:themeFillTint="3F"/>
      </w:tcPr>
    </w:tblStylePr>
  </w:style>
  <w:style w:type="table" w:styleId="LightShading-Accent6">
    <w:name w:val="Light Shading Accent 6"/>
    <w:basedOn w:val="TableNormal"/>
    <w:uiPriority w:val="60"/>
    <w:rsid w:val="00FC693F"/>
    <w:pPr>
      <w:spacing w:after="0" w:line="240" w:lineRule="auto"/>
    </w:pPr>
    <w:rPr>
      <w:color w:val="A60D0D" w:themeColor="accent6" w:themeShade="BF"/>
    </w:rPr>
    <w:tblPr>
      <w:tblStyleRowBandSize w:val="1"/>
      <w:tblStyleColBandSize w:val="1"/>
      <w:tblBorders>
        <w:top w:val="single" w:sz="8" w:space="0" w:color="DE1212" w:themeColor="accent6"/>
        <w:bottom w:val="single" w:sz="8" w:space="0" w:color="DE1212" w:themeColor="accent6"/>
      </w:tblBorders>
    </w:tblPr>
    <w:tblStylePr w:type="firstRow">
      <w:pPr>
        <w:spacing w:before="0" w:after="0" w:line="240" w:lineRule="auto"/>
      </w:pPr>
      <w:rPr>
        <w:b/>
        <w:bCs/>
      </w:rPr>
      <w:tblPr/>
      <w:tcPr>
        <w:tcBorders>
          <w:top w:val="single" w:sz="8" w:space="0" w:color="DE1212" w:themeColor="accent6"/>
          <w:left w:val="nil"/>
          <w:bottom w:val="single" w:sz="8" w:space="0" w:color="DE1212" w:themeColor="accent6"/>
          <w:right w:val="nil"/>
          <w:insideH w:val="nil"/>
          <w:insideV w:val="nil"/>
        </w:tcBorders>
      </w:tcPr>
    </w:tblStylePr>
    <w:tblStylePr w:type="lastRow">
      <w:pPr>
        <w:spacing w:before="0" w:after="0" w:line="240" w:lineRule="auto"/>
      </w:pPr>
      <w:rPr>
        <w:b/>
        <w:bCs/>
      </w:rPr>
      <w:tblPr/>
      <w:tcPr>
        <w:tcBorders>
          <w:top w:val="single" w:sz="8" w:space="0" w:color="DE1212" w:themeColor="accent6"/>
          <w:left w:val="nil"/>
          <w:bottom w:val="single" w:sz="8" w:space="0" w:color="DE121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1C1" w:themeFill="accent6" w:themeFillTint="3F"/>
      </w:tcPr>
    </w:tblStylePr>
    <w:tblStylePr w:type="band1Horz">
      <w:tblPr/>
      <w:tcPr>
        <w:tcBorders>
          <w:left w:val="nil"/>
          <w:right w:val="nil"/>
          <w:insideH w:val="nil"/>
          <w:insideV w:val="nil"/>
        </w:tcBorders>
        <w:shd w:val="clear" w:color="auto" w:fill="FAC1C1"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A67B2D" w:themeColor="accent1"/>
        <w:left w:val="single" w:sz="8" w:space="0" w:color="A67B2D" w:themeColor="accent1"/>
        <w:bottom w:val="single" w:sz="8" w:space="0" w:color="A67B2D" w:themeColor="accent1"/>
        <w:right w:val="single" w:sz="8" w:space="0" w:color="A67B2D" w:themeColor="accent1"/>
      </w:tblBorders>
    </w:tblPr>
    <w:tblStylePr w:type="firstRow">
      <w:pPr>
        <w:spacing w:before="0" w:after="0" w:line="240" w:lineRule="auto"/>
      </w:pPr>
      <w:rPr>
        <w:b/>
        <w:bCs/>
        <w:color w:val="FFFFFF" w:themeColor="background1"/>
      </w:rPr>
      <w:tblPr/>
      <w:tcPr>
        <w:shd w:val="clear" w:color="auto" w:fill="A67B2D" w:themeFill="accent1"/>
      </w:tcPr>
    </w:tblStylePr>
    <w:tblStylePr w:type="lastRow">
      <w:pPr>
        <w:spacing w:before="0" w:after="0" w:line="240" w:lineRule="auto"/>
      </w:pPr>
      <w:rPr>
        <w:b/>
        <w:bCs/>
      </w:rPr>
      <w:tblPr/>
      <w:tcPr>
        <w:tcBorders>
          <w:top w:val="double" w:sz="6" w:space="0" w:color="A67B2D" w:themeColor="accent1"/>
          <w:left w:val="single" w:sz="8" w:space="0" w:color="A67B2D" w:themeColor="accent1"/>
          <w:bottom w:val="single" w:sz="8" w:space="0" w:color="A67B2D" w:themeColor="accent1"/>
          <w:right w:val="single" w:sz="8" w:space="0" w:color="A67B2D" w:themeColor="accent1"/>
        </w:tcBorders>
      </w:tcPr>
    </w:tblStylePr>
    <w:tblStylePr w:type="firstCol">
      <w:rPr>
        <w:b/>
        <w:bCs/>
      </w:rPr>
    </w:tblStylePr>
    <w:tblStylePr w:type="lastCol">
      <w:rPr>
        <w:b/>
        <w:bCs/>
      </w:rPr>
    </w:tblStylePr>
    <w:tblStylePr w:type="band1Vert">
      <w:tblPr/>
      <w:tcPr>
        <w:tcBorders>
          <w:top w:val="single" w:sz="8" w:space="0" w:color="A67B2D" w:themeColor="accent1"/>
          <w:left w:val="single" w:sz="8" w:space="0" w:color="A67B2D" w:themeColor="accent1"/>
          <w:bottom w:val="single" w:sz="8" w:space="0" w:color="A67B2D" w:themeColor="accent1"/>
          <w:right w:val="single" w:sz="8" w:space="0" w:color="A67B2D" w:themeColor="accent1"/>
        </w:tcBorders>
      </w:tcPr>
    </w:tblStylePr>
    <w:tblStylePr w:type="band1Horz">
      <w:tblPr/>
      <w:tcPr>
        <w:tcBorders>
          <w:top w:val="single" w:sz="8" w:space="0" w:color="A67B2D" w:themeColor="accent1"/>
          <w:left w:val="single" w:sz="8" w:space="0" w:color="A67B2D" w:themeColor="accent1"/>
          <w:bottom w:val="single" w:sz="8" w:space="0" w:color="A67B2D" w:themeColor="accent1"/>
          <w:right w:val="single" w:sz="8" w:space="0" w:color="A67B2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273276" w:themeColor="accent2"/>
        <w:left w:val="single" w:sz="8" w:space="0" w:color="273276" w:themeColor="accent2"/>
        <w:bottom w:val="single" w:sz="8" w:space="0" w:color="273276" w:themeColor="accent2"/>
        <w:right w:val="single" w:sz="8" w:space="0" w:color="273276" w:themeColor="accent2"/>
      </w:tblBorders>
    </w:tblPr>
    <w:tblStylePr w:type="firstRow">
      <w:pPr>
        <w:spacing w:before="0" w:after="0" w:line="240" w:lineRule="auto"/>
      </w:pPr>
      <w:rPr>
        <w:b/>
        <w:bCs/>
        <w:color w:val="FFFFFF" w:themeColor="background1"/>
      </w:rPr>
      <w:tblPr/>
      <w:tcPr>
        <w:shd w:val="clear" w:color="auto" w:fill="273276" w:themeFill="accent2"/>
      </w:tcPr>
    </w:tblStylePr>
    <w:tblStylePr w:type="lastRow">
      <w:pPr>
        <w:spacing w:before="0" w:after="0" w:line="240" w:lineRule="auto"/>
      </w:pPr>
      <w:rPr>
        <w:b/>
        <w:bCs/>
      </w:rPr>
      <w:tblPr/>
      <w:tcPr>
        <w:tcBorders>
          <w:top w:val="double" w:sz="6" w:space="0" w:color="273276" w:themeColor="accent2"/>
          <w:left w:val="single" w:sz="8" w:space="0" w:color="273276" w:themeColor="accent2"/>
          <w:bottom w:val="single" w:sz="8" w:space="0" w:color="273276" w:themeColor="accent2"/>
          <w:right w:val="single" w:sz="8" w:space="0" w:color="273276" w:themeColor="accent2"/>
        </w:tcBorders>
      </w:tcPr>
    </w:tblStylePr>
    <w:tblStylePr w:type="firstCol">
      <w:rPr>
        <w:b/>
        <w:bCs/>
      </w:rPr>
    </w:tblStylePr>
    <w:tblStylePr w:type="lastCol">
      <w:rPr>
        <w:b/>
        <w:bCs/>
      </w:rPr>
    </w:tblStylePr>
    <w:tblStylePr w:type="band1Vert">
      <w:tblPr/>
      <w:tcPr>
        <w:tcBorders>
          <w:top w:val="single" w:sz="8" w:space="0" w:color="273276" w:themeColor="accent2"/>
          <w:left w:val="single" w:sz="8" w:space="0" w:color="273276" w:themeColor="accent2"/>
          <w:bottom w:val="single" w:sz="8" w:space="0" w:color="273276" w:themeColor="accent2"/>
          <w:right w:val="single" w:sz="8" w:space="0" w:color="273276" w:themeColor="accent2"/>
        </w:tcBorders>
      </w:tcPr>
    </w:tblStylePr>
    <w:tblStylePr w:type="band1Horz">
      <w:tblPr/>
      <w:tcPr>
        <w:tcBorders>
          <w:top w:val="single" w:sz="8" w:space="0" w:color="273276" w:themeColor="accent2"/>
          <w:left w:val="single" w:sz="8" w:space="0" w:color="273276" w:themeColor="accent2"/>
          <w:bottom w:val="single" w:sz="8" w:space="0" w:color="273276" w:themeColor="accent2"/>
          <w:right w:val="single" w:sz="8" w:space="0" w:color="27327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580AA8" w:themeColor="accent3"/>
        <w:left w:val="single" w:sz="8" w:space="0" w:color="580AA8" w:themeColor="accent3"/>
        <w:bottom w:val="single" w:sz="8" w:space="0" w:color="580AA8" w:themeColor="accent3"/>
        <w:right w:val="single" w:sz="8" w:space="0" w:color="580AA8" w:themeColor="accent3"/>
      </w:tblBorders>
    </w:tblPr>
    <w:tblStylePr w:type="firstRow">
      <w:pPr>
        <w:spacing w:before="0" w:after="0" w:line="240" w:lineRule="auto"/>
      </w:pPr>
      <w:rPr>
        <w:b/>
        <w:bCs/>
        <w:color w:val="FFFFFF" w:themeColor="background1"/>
      </w:rPr>
      <w:tblPr/>
      <w:tcPr>
        <w:shd w:val="clear" w:color="auto" w:fill="580AA8" w:themeFill="accent3"/>
      </w:tcPr>
    </w:tblStylePr>
    <w:tblStylePr w:type="lastRow">
      <w:pPr>
        <w:spacing w:before="0" w:after="0" w:line="240" w:lineRule="auto"/>
      </w:pPr>
      <w:rPr>
        <w:b/>
        <w:bCs/>
      </w:rPr>
      <w:tblPr/>
      <w:tcPr>
        <w:tcBorders>
          <w:top w:val="double" w:sz="6" w:space="0" w:color="580AA8" w:themeColor="accent3"/>
          <w:left w:val="single" w:sz="8" w:space="0" w:color="580AA8" w:themeColor="accent3"/>
          <w:bottom w:val="single" w:sz="8" w:space="0" w:color="580AA8" w:themeColor="accent3"/>
          <w:right w:val="single" w:sz="8" w:space="0" w:color="580AA8" w:themeColor="accent3"/>
        </w:tcBorders>
      </w:tcPr>
    </w:tblStylePr>
    <w:tblStylePr w:type="firstCol">
      <w:rPr>
        <w:b/>
        <w:bCs/>
      </w:rPr>
    </w:tblStylePr>
    <w:tblStylePr w:type="lastCol">
      <w:rPr>
        <w:b/>
        <w:bCs/>
      </w:rPr>
    </w:tblStylePr>
    <w:tblStylePr w:type="band1Vert">
      <w:tblPr/>
      <w:tcPr>
        <w:tcBorders>
          <w:top w:val="single" w:sz="8" w:space="0" w:color="580AA8" w:themeColor="accent3"/>
          <w:left w:val="single" w:sz="8" w:space="0" w:color="580AA8" w:themeColor="accent3"/>
          <w:bottom w:val="single" w:sz="8" w:space="0" w:color="580AA8" w:themeColor="accent3"/>
          <w:right w:val="single" w:sz="8" w:space="0" w:color="580AA8" w:themeColor="accent3"/>
        </w:tcBorders>
      </w:tcPr>
    </w:tblStylePr>
    <w:tblStylePr w:type="band1Horz">
      <w:tblPr/>
      <w:tcPr>
        <w:tcBorders>
          <w:top w:val="single" w:sz="8" w:space="0" w:color="580AA8" w:themeColor="accent3"/>
          <w:left w:val="single" w:sz="8" w:space="0" w:color="580AA8" w:themeColor="accent3"/>
          <w:bottom w:val="single" w:sz="8" w:space="0" w:color="580AA8" w:themeColor="accent3"/>
          <w:right w:val="single" w:sz="8" w:space="0" w:color="580AA8"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0B0F0" w:themeColor="accent4"/>
        <w:left w:val="single" w:sz="8" w:space="0" w:color="00B0F0" w:themeColor="accent4"/>
        <w:bottom w:val="single" w:sz="8" w:space="0" w:color="00B0F0" w:themeColor="accent4"/>
        <w:right w:val="single" w:sz="8" w:space="0" w:color="00B0F0" w:themeColor="accent4"/>
      </w:tblBorders>
    </w:tblPr>
    <w:tblStylePr w:type="firstRow">
      <w:pPr>
        <w:spacing w:before="0" w:after="0" w:line="240" w:lineRule="auto"/>
      </w:pPr>
      <w:rPr>
        <w:b/>
        <w:bCs/>
        <w:color w:val="FFFFFF" w:themeColor="background1"/>
      </w:rPr>
      <w:tblPr/>
      <w:tcPr>
        <w:shd w:val="clear" w:color="auto" w:fill="00B0F0" w:themeFill="accent4"/>
      </w:tcPr>
    </w:tblStylePr>
    <w:tblStylePr w:type="lastRow">
      <w:pPr>
        <w:spacing w:before="0" w:after="0" w:line="240" w:lineRule="auto"/>
      </w:pPr>
      <w:rPr>
        <w:b/>
        <w:bCs/>
      </w:rPr>
      <w:tblPr/>
      <w:tcPr>
        <w:tcBorders>
          <w:top w:val="double" w:sz="6" w:space="0" w:color="00B0F0" w:themeColor="accent4"/>
          <w:left w:val="single" w:sz="8" w:space="0" w:color="00B0F0" w:themeColor="accent4"/>
          <w:bottom w:val="single" w:sz="8" w:space="0" w:color="00B0F0" w:themeColor="accent4"/>
          <w:right w:val="single" w:sz="8" w:space="0" w:color="00B0F0" w:themeColor="accent4"/>
        </w:tcBorders>
      </w:tcPr>
    </w:tblStylePr>
    <w:tblStylePr w:type="firstCol">
      <w:rPr>
        <w:b/>
        <w:bCs/>
      </w:rPr>
    </w:tblStylePr>
    <w:tblStylePr w:type="lastCol">
      <w:rPr>
        <w:b/>
        <w:bCs/>
      </w:rPr>
    </w:tblStylePr>
    <w:tblStylePr w:type="band1Vert">
      <w:tblPr/>
      <w:tcPr>
        <w:tcBorders>
          <w:top w:val="single" w:sz="8" w:space="0" w:color="00B0F0" w:themeColor="accent4"/>
          <w:left w:val="single" w:sz="8" w:space="0" w:color="00B0F0" w:themeColor="accent4"/>
          <w:bottom w:val="single" w:sz="8" w:space="0" w:color="00B0F0" w:themeColor="accent4"/>
          <w:right w:val="single" w:sz="8" w:space="0" w:color="00B0F0" w:themeColor="accent4"/>
        </w:tcBorders>
      </w:tcPr>
    </w:tblStylePr>
    <w:tblStylePr w:type="band1Horz">
      <w:tblPr/>
      <w:tcPr>
        <w:tcBorders>
          <w:top w:val="single" w:sz="8" w:space="0" w:color="00B0F0" w:themeColor="accent4"/>
          <w:left w:val="single" w:sz="8" w:space="0" w:color="00B0F0" w:themeColor="accent4"/>
          <w:bottom w:val="single" w:sz="8" w:space="0" w:color="00B0F0" w:themeColor="accent4"/>
          <w:right w:val="single" w:sz="8" w:space="0" w:color="00B0F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009900" w:themeColor="accent5"/>
        <w:left w:val="single" w:sz="8" w:space="0" w:color="009900" w:themeColor="accent5"/>
        <w:bottom w:val="single" w:sz="8" w:space="0" w:color="009900" w:themeColor="accent5"/>
        <w:right w:val="single" w:sz="8" w:space="0" w:color="009900" w:themeColor="accent5"/>
      </w:tblBorders>
    </w:tblPr>
    <w:tblStylePr w:type="firstRow">
      <w:pPr>
        <w:spacing w:before="0" w:after="0" w:line="240" w:lineRule="auto"/>
      </w:pPr>
      <w:rPr>
        <w:b/>
        <w:bCs/>
        <w:color w:val="FFFFFF" w:themeColor="background1"/>
      </w:rPr>
      <w:tblPr/>
      <w:tcPr>
        <w:shd w:val="clear" w:color="auto" w:fill="009900" w:themeFill="accent5"/>
      </w:tcPr>
    </w:tblStylePr>
    <w:tblStylePr w:type="lastRow">
      <w:pPr>
        <w:spacing w:before="0" w:after="0" w:line="240" w:lineRule="auto"/>
      </w:pPr>
      <w:rPr>
        <w:b/>
        <w:bCs/>
      </w:rPr>
      <w:tblPr/>
      <w:tcPr>
        <w:tcBorders>
          <w:top w:val="double" w:sz="6" w:space="0" w:color="009900" w:themeColor="accent5"/>
          <w:left w:val="single" w:sz="8" w:space="0" w:color="009900" w:themeColor="accent5"/>
          <w:bottom w:val="single" w:sz="8" w:space="0" w:color="009900" w:themeColor="accent5"/>
          <w:right w:val="single" w:sz="8" w:space="0" w:color="009900" w:themeColor="accent5"/>
        </w:tcBorders>
      </w:tcPr>
    </w:tblStylePr>
    <w:tblStylePr w:type="firstCol">
      <w:rPr>
        <w:b/>
        <w:bCs/>
      </w:rPr>
    </w:tblStylePr>
    <w:tblStylePr w:type="lastCol">
      <w:rPr>
        <w:b/>
        <w:bCs/>
      </w:rPr>
    </w:tblStylePr>
    <w:tblStylePr w:type="band1Vert">
      <w:tblPr/>
      <w:tcPr>
        <w:tcBorders>
          <w:top w:val="single" w:sz="8" w:space="0" w:color="009900" w:themeColor="accent5"/>
          <w:left w:val="single" w:sz="8" w:space="0" w:color="009900" w:themeColor="accent5"/>
          <w:bottom w:val="single" w:sz="8" w:space="0" w:color="009900" w:themeColor="accent5"/>
          <w:right w:val="single" w:sz="8" w:space="0" w:color="009900" w:themeColor="accent5"/>
        </w:tcBorders>
      </w:tcPr>
    </w:tblStylePr>
    <w:tblStylePr w:type="band1Horz">
      <w:tblPr/>
      <w:tcPr>
        <w:tcBorders>
          <w:top w:val="single" w:sz="8" w:space="0" w:color="009900" w:themeColor="accent5"/>
          <w:left w:val="single" w:sz="8" w:space="0" w:color="009900" w:themeColor="accent5"/>
          <w:bottom w:val="single" w:sz="8" w:space="0" w:color="009900" w:themeColor="accent5"/>
          <w:right w:val="single" w:sz="8" w:space="0" w:color="0099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DE1212" w:themeColor="accent6"/>
        <w:left w:val="single" w:sz="8" w:space="0" w:color="DE1212" w:themeColor="accent6"/>
        <w:bottom w:val="single" w:sz="8" w:space="0" w:color="DE1212" w:themeColor="accent6"/>
        <w:right w:val="single" w:sz="8" w:space="0" w:color="DE1212" w:themeColor="accent6"/>
      </w:tblBorders>
    </w:tblPr>
    <w:tblStylePr w:type="firstRow">
      <w:pPr>
        <w:spacing w:before="0" w:after="0" w:line="240" w:lineRule="auto"/>
      </w:pPr>
      <w:rPr>
        <w:b/>
        <w:bCs/>
        <w:color w:val="FFFFFF" w:themeColor="background1"/>
      </w:rPr>
      <w:tblPr/>
      <w:tcPr>
        <w:shd w:val="clear" w:color="auto" w:fill="DE1212" w:themeFill="accent6"/>
      </w:tcPr>
    </w:tblStylePr>
    <w:tblStylePr w:type="lastRow">
      <w:pPr>
        <w:spacing w:before="0" w:after="0" w:line="240" w:lineRule="auto"/>
      </w:pPr>
      <w:rPr>
        <w:b/>
        <w:bCs/>
      </w:rPr>
      <w:tblPr/>
      <w:tcPr>
        <w:tcBorders>
          <w:top w:val="double" w:sz="6" w:space="0" w:color="DE1212" w:themeColor="accent6"/>
          <w:left w:val="single" w:sz="8" w:space="0" w:color="DE1212" w:themeColor="accent6"/>
          <w:bottom w:val="single" w:sz="8" w:space="0" w:color="DE1212" w:themeColor="accent6"/>
          <w:right w:val="single" w:sz="8" w:space="0" w:color="DE1212" w:themeColor="accent6"/>
        </w:tcBorders>
      </w:tcPr>
    </w:tblStylePr>
    <w:tblStylePr w:type="firstCol">
      <w:rPr>
        <w:b/>
        <w:bCs/>
      </w:rPr>
    </w:tblStylePr>
    <w:tblStylePr w:type="lastCol">
      <w:rPr>
        <w:b/>
        <w:bCs/>
      </w:rPr>
    </w:tblStylePr>
    <w:tblStylePr w:type="band1Vert">
      <w:tblPr/>
      <w:tcPr>
        <w:tcBorders>
          <w:top w:val="single" w:sz="8" w:space="0" w:color="DE1212" w:themeColor="accent6"/>
          <w:left w:val="single" w:sz="8" w:space="0" w:color="DE1212" w:themeColor="accent6"/>
          <w:bottom w:val="single" w:sz="8" w:space="0" w:color="DE1212" w:themeColor="accent6"/>
          <w:right w:val="single" w:sz="8" w:space="0" w:color="DE1212" w:themeColor="accent6"/>
        </w:tcBorders>
      </w:tcPr>
    </w:tblStylePr>
    <w:tblStylePr w:type="band1Horz">
      <w:tblPr/>
      <w:tcPr>
        <w:tcBorders>
          <w:top w:val="single" w:sz="8" w:space="0" w:color="DE1212" w:themeColor="accent6"/>
          <w:left w:val="single" w:sz="8" w:space="0" w:color="DE1212" w:themeColor="accent6"/>
          <w:bottom w:val="single" w:sz="8" w:space="0" w:color="DE1212" w:themeColor="accent6"/>
          <w:right w:val="single" w:sz="8" w:space="0" w:color="DE121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A67B2D" w:themeColor="accent1"/>
        <w:left w:val="single" w:sz="8" w:space="0" w:color="A67B2D" w:themeColor="accent1"/>
        <w:bottom w:val="single" w:sz="8" w:space="0" w:color="A67B2D" w:themeColor="accent1"/>
        <w:right w:val="single" w:sz="8" w:space="0" w:color="A67B2D" w:themeColor="accent1"/>
        <w:insideH w:val="single" w:sz="8" w:space="0" w:color="A67B2D" w:themeColor="accent1"/>
        <w:insideV w:val="single" w:sz="8" w:space="0" w:color="A67B2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7B2D" w:themeColor="accent1"/>
          <w:left w:val="single" w:sz="8" w:space="0" w:color="A67B2D" w:themeColor="accent1"/>
          <w:bottom w:val="single" w:sz="18" w:space="0" w:color="A67B2D" w:themeColor="accent1"/>
          <w:right w:val="single" w:sz="8" w:space="0" w:color="A67B2D" w:themeColor="accent1"/>
          <w:insideH w:val="nil"/>
          <w:insideV w:val="single" w:sz="8" w:space="0" w:color="A67B2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7B2D" w:themeColor="accent1"/>
          <w:left w:val="single" w:sz="8" w:space="0" w:color="A67B2D" w:themeColor="accent1"/>
          <w:bottom w:val="single" w:sz="8" w:space="0" w:color="A67B2D" w:themeColor="accent1"/>
          <w:right w:val="single" w:sz="8" w:space="0" w:color="A67B2D" w:themeColor="accent1"/>
          <w:insideH w:val="nil"/>
          <w:insideV w:val="single" w:sz="8" w:space="0" w:color="A67B2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7B2D" w:themeColor="accent1"/>
          <w:left w:val="single" w:sz="8" w:space="0" w:color="A67B2D" w:themeColor="accent1"/>
          <w:bottom w:val="single" w:sz="8" w:space="0" w:color="A67B2D" w:themeColor="accent1"/>
          <w:right w:val="single" w:sz="8" w:space="0" w:color="A67B2D" w:themeColor="accent1"/>
        </w:tcBorders>
      </w:tcPr>
    </w:tblStylePr>
    <w:tblStylePr w:type="band1Vert">
      <w:tblPr/>
      <w:tcPr>
        <w:tcBorders>
          <w:top w:val="single" w:sz="8" w:space="0" w:color="A67B2D" w:themeColor="accent1"/>
          <w:left w:val="single" w:sz="8" w:space="0" w:color="A67B2D" w:themeColor="accent1"/>
          <w:bottom w:val="single" w:sz="8" w:space="0" w:color="A67B2D" w:themeColor="accent1"/>
          <w:right w:val="single" w:sz="8" w:space="0" w:color="A67B2D" w:themeColor="accent1"/>
        </w:tcBorders>
        <w:shd w:val="clear" w:color="auto" w:fill="EFE0C4" w:themeFill="accent1" w:themeFillTint="3F"/>
      </w:tcPr>
    </w:tblStylePr>
    <w:tblStylePr w:type="band1Horz">
      <w:tblPr/>
      <w:tcPr>
        <w:tcBorders>
          <w:top w:val="single" w:sz="8" w:space="0" w:color="A67B2D" w:themeColor="accent1"/>
          <w:left w:val="single" w:sz="8" w:space="0" w:color="A67B2D" w:themeColor="accent1"/>
          <w:bottom w:val="single" w:sz="8" w:space="0" w:color="A67B2D" w:themeColor="accent1"/>
          <w:right w:val="single" w:sz="8" w:space="0" w:color="A67B2D" w:themeColor="accent1"/>
          <w:insideV w:val="single" w:sz="8" w:space="0" w:color="A67B2D" w:themeColor="accent1"/>
        </w:tcBorders>
        <w:shd w:val="clear" w:color="auto" w:fill="EFE0C4" w:themeFill="accent1" w:themeFillTint="3F"/>
      </w:tcPr>
    </w:tblStylePr>
    <w:tblStylePr w:type="band2Horz">
      <w:tblPr/>
      <w:tcPr>
        <w:tcBorders>
          <w:top w:val="single" w:sz="8" w:space="0" w:color="A67B2D" w:themeColor="accent1"/>
          <w:left w:val="single" w:sz="8" w:space="0" w:color="A67B2D" w:themeColor="accent1"/>
          <w:bottom w:val="single" w:sz="8" w:space="0" w:color="A67B2D" w:themeColor="accent1"/>
          <w:right w:val="single" w:sz="8" w:space="0" w:color="A67B2D" w:themeColor="accent1"/>
          <w:insideV w:val="single" w:sz="8" w:space="0" w:color="A67B2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273276" w:themeColor="accent2"/>
        <w:left w:val="single" w:sz="8" w:space="0" w:color="273276" w:themeColor="accent2"/>
        <w:bottom w:val="single" w:sz="8" w:space="0" w:color="273276" w:themeColor="accent2"/>
        <w:right w:val="single" w:sz="8" w:space="0" w:color="273276" w:themeColor="accent2"/>
        <w:insideH w:val="single" w:sz="8" w:space="0" w:color="273276" w:themeColor="accent2"/>
        <w:insideV w:val="single" w:sz="8" w:space="0" w:color="27327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3276" w:themeColor="accent2"/>
          <w:left w:val="single" w:sz="8" w:space="0" w:color="273276" w:themeColor="accent2"/>
          <w:bottom w:val="single" w:sz="18" w:space="0" w:color="273276" w:themeColor="accent2"/>
          <w:right w:val="single" w:sz="8" w:space="0" w:color="273276" w:themeColor="accent2"/>
          <w:insideH w:val="nil"/>
          <w:insideV w:val="single" w:sz="8" w:space="0" w:color="27327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3276" w:themeColor="accent2"/>
          <w:left w:val="single" w:sz="8" w:space="0" w:color="273276" w:themeColor="accent2"/>
          <w:bottom w:val="single" w:sz="8" w:space="0" w:color="273276" w:themeColor="accent2"/>
          <w:right w:val="single" w:sz="8" w:space="0" w:color="273276" w:themeColor="accent2"/>
          <w:insideH w:val="nil"/>
          <w:insideV w:val="single" w:sz="8" w:space="0" w:color="27327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3276" w:themeColor="accent2"/>
          <w:left w:val="single" w:sz="8" w:space="0" w:color="273276" w:themeColor="accent2"/>
          <w:bottom w:val="single" w:sz="8" w:space="0" w:color="273276" w:themeColor="accent2"/>
          <w:right w:val="single" w:sz="8" w:space="0" w:color="273276" w:themeColor="accent2"/>
        </w:tcBorders>
      </w:tcPr>
    </w:tblStylePr>
    <w:tblStylePr w:type="band1Vert">
      <w:tblPr/>
      <w:tcPr>
        <w:tcBorders>
          <w:top w:val="single" w:sz="8" w:space="0" w:color="273276" w:themeColor="accent2"/>
          <w:left w:val="single" w:sz="8" w:space="0" w:color="273276" w:themeColor="accent2"/>
          <w:bottom w:val="single" w:sz="8" w:space="0" w:color="273276" w:themeColor="accent2"/>
          <w:right w:val="single" w:sz="8" w:space="0" w:color="273276" w:themeColor="accent2"/>
        </w:tcBorders>
        <w:shd w:val="clear" w:color="auto" w:fill="BDC3E9" w:themeFill="accent2" w:themeFillTint="3F"/>
      </w:tcPr>
    </w:tblStylePr>
    <w:tblStylePr w:type="band1Horz">
      <w:tblPr/>
      <w:tcPr>
        <w:tcBorders>
          <w:top w:val="single" w:sz="8" w:space="0" w:color="273276" w:themeColor="accent2"/>
          <w:left w:val="single" w:sz="8" w:space="0" w:color="273276" w:themeColor="accent2"/>
          <w:bottom w:val="single" w:sz="8" w:space="0" w:color="273276" w:themeColor="accent2"/>
          <w:right w:val="single" w:sz="8" w:space="0" w:color="273276" w:themeColor="accent2"/>
          <w:insideV w:val="single" w:sz="8" w:space="0" w:color="273276" w:themeColor="accent2"/>
        </w:tcBorders>
        <w:shd w:val="clear" w:color="auto" w:fill="BDC3E9" w:themeFill="accent2" w:themeFillTint="3F"/>
      </w:tcPr>
    </w:tblStylePr>
    <w:tblStylePr w:type="band2Horz">
      <w:tblPr/>
      <w:tcPr>
        <w:tcBorders>
          <w:top w:val="single" w:sz="8" w:space="0" w:color="273276" w:themeColor="accent2"/>
          <w:left w:val="single" w:sz="8" w:space="0" w:color="273276" w:themeColor="accent2"/>
          <w:bottom w:val="single" w:sz="8" w:space="0" w:color="273276" w:themeColor="accent2"/>
          <w:right w:val="single" w:sz="8" w:space="0" w:color="273276" w:themeColor="accent2"/>
          <w:insideV w:val="single" w:sz="8" w:space="0" w:color="27327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580AA8" w:themeColor="accent3"/>
        <w:left w:val="single" w:sz="8" w:space="0" w:color="580AA8" w:themeColor="accent3"/>
        <w:bottom w:val="single" w:sz="8" w:space="0" w:color="580AA8" w:themeColor="accent3"/>
        <w:right w:val="single" w:sz="8" w:space="0" w:color="580AA8" w:themeColor="accent3"/>
        <w:insideH w:val="single" w:sz="8" w:space="0" w:color="580AA8" w:themeColor="accent3"/>
        <w:insideV w:val="single" w:sz="8" w:space="0" w:color="580AA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0AA8" w:themeColor="accent3"/>
          <w:left w:val="single" w:sz="8" w:space="0" w:color="580AA8" w:themeColor="accent3"/>
          <w:bottom w:val="single" w:sz="18" w:space="0" w:color="580AA8" w:themeColor="accent3"/>
          <w:right w:val="single" w:sz="8" w:space="0" w:color="580AA8" w:themeColor="accent3"/>
          <w:insideH w:val="nil"/>
          <w:insideV w:val="single" w:sz="8" w:space="0" w:color="580AA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0AA8" w:themeColor="accent3"/>
          <w:left w:val="single" w:sz="8" w:space="0" w:color="580AA8" w:themeColor="accent3"/>
          <w:bottom w:val="single" w:sz="8" w:space="0" w:color="580AA8" w:themeColor="accent3"/>
          <w:right w:val="single" w:sz="8" w:space="0" w:color="580AA8" w:themeColor="accent3"/>
          <w:insideH w:val="nil"/>
          <w:insideV w:val="single" w:sz="8" w:space="0" w:color="580AA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0AA8" w:themeColor="accent3"/>
          <w:left w:val="single" w:sz="8" w:space="0" w:color="580AA8" w:themeColor="accent3"/>
          <w:bottom w:val="single" w:sz="8" w:space="0" w:color="580AA8" w:themeColor="accent3"/>
          <w:right w:val="single" w:sz="8" w:space="0" w:color="580AA8" w:themeColor="accent3"/>
        </w:tcBorders>
      </w:tcPr>
    </w:tblStylePr>
    <w:tblStylePr w:type="band1Vert">
      <w:tblPr/>
      <w:tcPr>
        <w:tcBorders>
          <w:top w:val="single" w:sz="8" w:space="0" w:color="580AA8" w:themeColor="accent3"/>
          <w:left w:val="single" w:sz="8" w:space="0" w:color="580AA8" w:themeColor="accent3"/>
          <w:bottom w:val="single" w:sz="8" w:space="0" w:color="580AA8" w:themeColor="accent3"/>
          <w:right w:val="single" w:sz="8" w:space="0" w:color="580AA8" w:themeColor="accent3"/>
        </w:tcBorders>
        <w:shd w:val="clear" w:color="auto" w:fill="D5B1FA" w:themeFill="accent3" w:themeFillTint="3F"/>
      </w:tcPr>
    </w:tblStylePr>
    <w:tblStylePr w:type="band1Horz">
      <w:tblPr/>
      <w:tcPr>
        <w:tcBorders>
          <w:top w:val="single" w:sz="8" w:space="0" w:color="580AA8" w:themeColor="accent3"/>
          <w:left w:val="single" w:sz="8" w:space="0" w:color="580AA8" w:themeColor="accent3"/>
          <w:bottom w:val="single" w:sz="8" w:space="0" w:color="580AA8" w:themeColor="accent3"/>
          <w:right w:val="single" w:sz="8" w:space="0" w:color="580AA8" w:themeColor="accent3"/>
          <w:insideV w:val="single" w:sz="8" w:space="0" w:color="580AA8" w:themeColor="accent3"/>
        </w:tcBorders>
        <w:shd w:val="clear" w:color="auto" w:fill="D5B1FA" w:themeFill="accent3" w:themeFillTint="3F"/>
      </w:tcPr>
    </w:tblStylePr>
    <w:tblStylePr w:type="band2Horz">
      <w:tblPr/>
      <w:tcPr>
        <w:tcBorders>
          <w:top w:val="single" w:sz="8" w:space="0" w:color="580AA8" w:themeColor="accent3"/>
          <w:left w:val="single" w:sz="8" w:space="0" w:color="580AA8" w:themeColor="accent3"/>
          <w:bottom w:val="single" w:sz="8" w:space="0" w:color="580AA8" w:themeColor="accent3"/>
          <w:right w:val="single" w:sz="8" w:space="0" w:color="580AA8" w:themeColor="accent3"/>
          <w:insideV w:val="single" w:sz="8" w:space="0" w:color="580AA8"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0B0F0" w:themeColor="accent4"/>
        <w:left w:val="single" w:sz="8" w:space="0" w:color="00B0F0" w:themeColor="accent4"/>
        <w:bottom w:val="single" w:sz="8" w:space="0" w:color="00B0F0" w:themeColor="accent4"/>
        <w:right w:val="single" w:sz="8" w:space="0" w:color="00B0F0" w:themeColor="accent4"/>
        <w:insideH w:val="single" w:sz="8" w:space="0" w:color="00B0F0" w:themeColor="accent4"/>
        <w:insideV w:val="single" w:sz="8" w:space="0" w:color="00B0F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0F0" w:themeColor="accent4"/>
          <w:left w:val="single" w:sz="8" w:space="0" w:color="00B0F0" w:themeColor="accent4"/>
          <w:bottom w:val="single" w:sz="18" w:space="0" w:color="00B0F0" w:themeColor="accent4"/>
          <w:right w:val="single" w:sz="8" w:space="0" w:color="00B0F0" w:themeColor="accent4"/>
          <w:insideH w:val="nil"/>
          <w:insideV w:val="single" w:sz="8" w:space="0" w:color="00B0F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0F0" w:themeColor="accent4"/>
          <w:left w:val="single" w:sz="8" w:space="0" w:color="00B0F0" w:themeColor="accent4"/>
          <w:bottom w:val="single" w:sz="8" w:space="0" w:color="00B0F0" w:themeColor="accent4"/>
          <w:right w:val="single" w:sz="8" w:space="0" w:color="00B0F0" w:themeColor="accent4"/>
          <w:insideH w:val="nil"/>
          <w:insideV w:val="single" w:sz="8" w:space="0" w:color="00B0F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0F0" w:themeColor="accent4"/>
          <w:left w:val="single" w:sz="8" w:space="0" w:color="00B0F0" w:themeColor="accent4"/>
          <w:bottom w:val="single" w:sz="8" w:space="0" w:color="00B0F0" w:themeColor="accent4"/>
          <w:right w:val="single" w:sz="8" w:space="0" w:color="00B0F0" w:themeColor="accent4"/>
        </w:tcBorders>
      </w:tcPr>
    </w:tblStylePr>
    <w:tblStylePr w:type="band1Vert">
      <w:tblPr/>
      <w:tcPr>
        <w:tcBorders>
          <w:top w:val="single" w:sz="8" w:space="0" w:color="00B0F0" w:themeColor="accent4"/>
          <w:left w:val="single" w:sz="8" w:space="0" w:color="00B0F0" w:themeColor="accent4"/>
          <w:bottom w:val="single" w:sz="8" w:space="0" w:color="00B0F0" w:themeColor="accent4"/>
          <w:right w:val="single" w:sz="8" w:space="0" w:color="00B0F0" w:themeColor="accent4"/>
        </w:tcBorders>
        <w:shd w:val="clear" w:color="auto" w:fill="BCEDFF" w:themeFill="accent4" w:themeFillTint="3F"/>
      </w:tcPr>
    </w:tblStylePr>
    <w:tblStylePr w:type="band1Horz">
      <w:tblPr/>
      <w:tcPr>
        <w:tcBorders>
          <w:top w:val="single" w:sz="8" w:space="0" w:color="00B0F0" w:themeColor="accent4"/>
          <w:left w:val="single" w:sz="8" w:space="0" w:color="00B0F0" w:themeColor="accent4"/>
          <w:bottom w:val="single" w:sz="8" w:space="0" w:color="00B0F0" w:themeColor="accent4"/>
          <w:right w:val="single" w:sz="8" w:space="0" w:color="00B0F0" w:themeColor="accent4"/>
          <w:insideV w:val="single" w:sz="8" w:space="0" w:color="00B0F0" w:themeColor="accent4"/>
        </w:tcBorders>
        <w:shd w:val="clear" w:color="auto" w:fill="BCEDFF" w:themeFill="accent4" w:themeFillTint="3F"/>
      </w:tcPr>
    </w:tblStylePr>
    <w:tblStylePr w:type="band2Horz">
      <w:tblPr/>
      <w:tcPr>
        <w:tcBorders>
          <w:top w:val="single" w:sz="8" w:space="0" w:color="00B0F0" w:themeColor="accent4"/>
          <w:left w:val="single" w:sz="8" w:space="0" w:color="00B0F0" w:themeColor="accent4"/>
          <w:bottom w:val="single" w:sz="8" w:space="0" w:color="00B0F0" w:themeColor="accent4"/>
          <w:right w:val="single" w:sz="8" w:space="0" w:color="00B0F0" w:themeColor="accent4"/>
          <w:insideV w:val="single" w:sz="8" w:space="0" w:color="00B0F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009900" w:themeColor="accent5"/>
        <w:left w:val="single" w:sz="8" w:space="0" w:color="009900" w:themeColor="accent5"/>
        <w:bottom w:val="single" w:sz="8" w:space="0" w:color="009900" w:themeColor="accent5"/>
        <w:right w:val="single" w:sz="8" w:space="0" w:color="009900" w:themeColor="accent5"/>
        <w:insideH w:val="single" w:sz="8" w:space="0" w:color="009900" w:themeColor="accent5"/>
        <w:insideV w:val="single" w:sz="8" w:space="0" w:color="00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00" w:themeColor="accent5"/>
          <w:left w:val="single" w:sz="8" w:space="0" w:color="009900" w:themeColor="accent5"/>
          <w:bottom w:val="single" w:sz="18" w:space="0" w:color="009900" w:themeColor="accent5"/>
          <w:right w:val="single" w:sz="8" w:space="0" w:color="009900" w:themeColor="accent5"/>
          <w:insideH w:val="nil"/>
          <w:insideV w:val="single" w:sz="8" w:space="0" w:color="00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00" w:themeColor="accent5"/>
          <w:left w:val="single" w:sz="8" w:space="0" w:color="009900" w:themeColor="accent5"/>
          <w:bottom w:val="single" w:sz="8" w:space="0" w:color="009900" w:themeColor="accent5"/>
          <w:right w:val="single" w:sz="8" w:space="0" w:color="009900" w:themeColor="accent5"/>
          <w:insideH w:val="nil"/>
          <w:insideV w:val="single" w:sz="8" w:space="0" w:color="00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00" w:themeColor="accent5"/>
          <w:left w:val="single" w:sz="8" w:space="0" w:color="009900" w:themeColor="accent5"/>
          <w:bottom w:val="single" w:sz="8" w:space="0" w:color="009900" w:themeColor="accent5"/>
          <w:right w:val="single" w:sz="8" w:space="0" w:color="009900" w:themeColor="accent5"/>
        </w:tcBorders>
      </w:tcPr>
    </w:tblStylePr>
    <w:tblStylePr w:type="band1Vert">
      <w:tblPr/>
      <w:tcPr>
        <w:tcBorders>
          <w:top w:val="single" w:sz="8" w:space="0" w:color="009900" w:themeColor="accent5"/>
          <w:left w:val="single" w:sz="8" w:space="0" w:color="009900" w:themeColor="accent5"/>
          <w:bottom w:val="single" w:sz="8" w:space="0" w:color="009900" w:themeColor="accent5"/>
          <w:right w:val="single" w:sz="8" w:space="0" w:color="009900" w:themeColor="accent5"/>
        </w:tcBorders>
        <w:shd w:val="clear" w:color="auto" w:fill="A6FFA6" w:themeFill="accent5" w:themeFillTint="3F"/>
      </w:tcPr>
    </w:tblStylePr>
    <w:tblStylePr w:type="band1Horz">
      <w:tblPr/>
      <w:tcPr>
        <w:tcBorders>
          <w:top w:val="single" w:sz="8" w:space="0" w:color="009900" w:themeColor="accent5"/>
          <w:left w:val="single" w:sz="8" w:space="0" w:color="009900" w:themeColor="accent5"/>
          <w:bottom w:val="single" w:sz="8" w:space="0" w:color="009900" w:themeColor="accent5"/>
          <w:right w:val="single" w:sz="8" w:space="0" w:color="009900" w:themeColor="accent5"/>
          <w:insideV w:val="single" w:sz="8" w:space="0" w:color="009900" w:themeColor="accent5"/>
        </w:tcBorders>
        <w:shd w:val="clear" w:color="auto" w:fill="A6FFA6" w:themeFill="accent5" w:themeFillTint="3F"/>
      </w:tcPr>
    </w:tblStylePr>
    <w:tblStylePr w:type="band2Horz">
      <w:tblPr/>
      <w:tcPr>
        <w:tcBorders>
          <w:top w:val="single" w:sz="8" w:space="0" w:color="009900" w:themeColor="accent5"/>
          <w:left w:val="single" w:sz="8" w:space="0" w:color="009900" w:themeColor="accent5"/>
          <w:bottom w:val="single" w:sz="8" w:space="0" w:color="009900" w:themeColor="accent5"/>
          <w:right w:val="single" w:sz="8" w:space="0" w:color="009900" w:themeColor="accent5"/>
          <w:insideV w:val="single" w:sz="8" w:space="0" w:color="0099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DE1212" w:themeColor="accent6"/>
        <w:left w:val="single" w:sz="8" w:space="0" w:color="DE1212" w:themeColor="accent6"/>
        <w:bottom w:val="single" w:sz="8" w:space="0" w:color="DE1212" w:themeColor="accent6"/>
        <w:right w:val="single" w:sz="8" w:space="0" w:color="DE1212" w:themeColor="accent6"/>
        <w:insideH w:val="single" w:sz="8" w:space="0" w:color="DE1212" w:themeColor="accent6"/>
        <w:insideV w:val="single" w:sz="8" w:space="0" w:color="DE121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1212" w:themeColor="accent6"/>
          <w:left w:val="single" w:sz="8" w:space="0" w:color="DE1212" w:themeColor="accent6"/>
          <w:bottom w:val="single" w:sz="18" w:space="0" w:color="DE1212" w:themeColor="accent6"/>
          <w:right w:val="single" w:sz="8" w:space="0" w:color="DE1212" w:themeColor="accent6"/>
          <w:insideH w:val="nil"/>
          <w:insideV w:val="single" w:sz="8" w:space="0" w:color="DE121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1212" w:themeColor="accent6"/>
          <w:left w:val="single" w:sz="8" w:space="0" w:color="DE1212" w:themeColor="accent6"/>
          <w:bottom w:val="single" w:sz="8" w:space="0" w:color="DE1212" w:themeColor="accent6"/>
          <w:right w:val="single" w:sz="8" w:space="0" w:color="DE1212" w:themeColor="accent6"/>
          <w:insideH w:val="nil"/>
          <w:insideV w:val="single" w:sz="8" w:space="0" w:color="DE121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1212" w:themeColor="accent6"/>
          <w:left w:val="single" w:sz="8" w:space="0" w:color="DE1212" w:themeColor="accent6"/>
          <w:bottom w:val="single" w:sz="8" w:space="0" w:color="DE1212" w:themeColor="accent6"/>
          <w:right w:val="single" w:sz="8" w:space="0" w:color="DE1212" w:themeColor="accent6"/>
        </w:tcBorders>
      </w:tcPr>
    </w:tblStylePr>
    <w:tblStylePr w:type="band1Vert">
      <w:tblPr/>
      <w:tcPr>
        <w:tcBorders>
          <w:top w:val="single" w:sz="8" w:space="0" w:color="DE1212" w:themeColor="accent6"/>
          <w:left w:val="single" w:sz="8" w:space="0" w:color="DE1212" w:themeColor="accent6"/>
          <w:bottom w:val="single" w:sz="8" w:space="0" w:color="DE1212" w:themeColor="accent6"/>
          <w:right w:val="single" w:sz="8" w:space="0" w:color="DE1212" w:themeColor="accent6"/>
        </w:tcBorders>
        <w:shd w:val="clear" w:color="auto" w:fill="FAC1C1" w:themeFill="accent6" w:themeFillTint="3F"/>
      </w:tcPr>
    </w:tblStylePr>
    <w:tblStylePr w:type="band1Horz">
      <w:tblPr/>
      <w:tcPr>
        <w:tcBorders>
          <w:top w:val="single" w:sz="8" w:space="0" w:color="DE1212" w:themeColor="accent6"/>
          <w:left w:val="single" w:sz="8" w:space="0" w:color="DE1212" w:themeColor="accent6"/>
          <w:bottom w:val="single" w:sz="8" w:space="0" w:color="DE1212" w:themeColor="accent6"/>
          <w:right w:val="single" w:sz="8" w:space="0" w:color="DE1212" w:themeColor="accent6"/>
          <w:insideV w:val="single" w:sz="8" w:space="0" w:color="DE1212" w:themeColor="accent6"/>
        </w:tcBorders>
        <w:shd w:val="clear" w:color="auto" w:fill="FAC1C1" w:themeFill="accent6" w:themeFillTint="3F"/>
      </w:tcPr>
    </w:tblStylePr>
    <w:tblStylePr w:type="band2Horz">
      <w:tblPr/>
      <w:tcPr>
        <w:tcBorders>
          <w:top w:val="single" w:sz="8" w:space="0" w:color="DE1212" w:themeColor="accent6"/>
          <w:left w:val="single" w:sz="8" w:space="0" w:color="DE1212" w:themeColor="accent6"/>
          <w:bottom w:val="single" w:sz="8" w:space="0" w:color="DE1212" w:themeColor="accent6"/>
          <w:right w:val="single" w:sz="8" w:space="0" w:color="DE1212" w:themeColor="accent6"/>
          <w:insideV w:val="single" w:sz="8" w:space="0" w:color="DE121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CFA14E" w:themeColor="accent1" w:themeTint="BF"/>
        <w:left w:val="single" w:sz="8" w:space="0" w:color="CFA14E" w:themeColor="accent1" w:themeTint="BF"/>
        <w:bottom w:val="single" w:sz="8" w:space="0" w:color="CFA14E" w:themeColor="accent1" w:themeTint="BF"/>
        <w:right w:val="single" w:sz="8" w:space="0" w:color="CFA14E" w:themeColor="accent1" w:themeTint="BF"/>
        <w:insideH w:val="single" w:sz="8" w:space="0" w:color="CFA14E" w:themeColor="accent1" w:themeTint="BF"/>
      </w:tblBorders>
    </w:tblPr>
    <w:tblStylePr w:type="firstRow">
      <w:pPr>
        <w:spacing w:before="0" w:after="0" w:line="240" w:lineRule="auto"/>
      </w:pPr>
      <w:rPr>
        <w:b/>
        <w:bCs/>
        <w:color w:val="FFFFFF" w:themeColor="background1"/>
      </w:rPr>
      <w:tblPr/>
      <w:tcPr>
        <w:tcBorders>
          <w:top w:val="single" w:sz="8" w:space="0" w:color="CFA14E" w:themeColor="accent1" w:themeTint="BF"/>
          <w:left w:val="single" w:sz="8" w:space="0" w:color="CFA14E" w:themeColor="accent1" w:themeTint="BF"/>
          <w:bottom w:val="single" w:sz="8" w:space="0" w:color="CFA14E" w:themeColor="accent1" w:themeTint="BF"/>
          <w:right w:val="single" w:sz="8" w:space="0" w:color="CFA14E" w:themeColor="accent1" w:themeTint="BF"/>
          <w:insideH w:val="nil"/>
          <w:insideV w:val="nil"/>
        </w:tcBorders>
        <w:shd w:val="clear" w:color="auto" w:fill="A67B2D" w:themeFill="accent1"/>
      </w:tcPr>
    </w:tblStylePr>
    <w:tblStylePr w:type="lastRow">
      <w:pPr>
        <w:spacing w:before="0" w:after="0" w:line="240" w:lineRule="auto"/>
      </w:pPr>
      <w:rPr>
        <w:b/>
        <w:bCs/>
      </w:rPr>
      <w:tblPr/>
      <w:tcPr>
        <w:tcBorders>
          <w:top w:val="double" w:sz="6" w:space="0" w:color="CFA14E" w:themeColor="accent1" w:themeTint="BF"/>
          <w:left w:val="single" w:sz="8" w:space="0" w:color="CFA14E" w:themeColor="accent1" w:themeTint="BF"/>
          <w:bottom w:val="single" w:sz="8" w:space="0" w:color="CFA14E" w:themeColor="accent1" w:themeTint="BF"/>
          <w:right w:val="single" w:sz="8" w:space="0" w:color="CFA14E" w:themeColor="accent1" w:themeTint="BF"/>
          <w:insideH w:val="nil"/>
          <w:insideV w:val="nil"/>
        </w:tcBorders>
      </w:tcPr>
    </w:tblStylePr>
    <w:tblStylePr w:type="firstCol">
      <w:rPr>
        <w:b/>
        <w:bCs/>
      </w:rPr>
    </w:tblStylePr>
    <w:tblStylePr w:type="lastCol">
      <w:rPr>
        <w:b/>
        <w:bCs/>
      </w:rPr>
    </w:tblStylePr>
    <w:tblStylePr w:type="band1Vert">
      <w:tblPr/>
      <w:tcPr>
        <w:shd w:val="clear" w:color="auto" w:fill="EFE0C4" w:themeFill="accent1" w:themeFillTint="3F"/>
      </w:tcPr>
    </w:tblStylePr>
    <w:tblStylePr w:type="band1Horz">
      <w:tblPr/>
      <w:tcPr>
        <w:tcBorders>
          <w:insideH w:val="nil"/>
          <w:insideV w:val="nil"/>
        </w:tcBorders>
        <w:shd w:val="clear" w:color="auto" w:fill="EFE0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3D4EB8" w:themeColor="accent2" w:themeTint="BF"/>
        <w:left w:val="single" w:sz="8" w:space="0" w:color="3D4EB8" w:themeColor="accent2" w:themeTint="BF"/>
        <w:bottom w:val="single" w:sz="8" w:space="0" w:color="3D4EB8" w:themeColor="accent2" w:themeTint="BF"/>
        <w:right w:val="single" w:sz="8" w:space="0" w:color="3D4EB8" w:themeColor="accent2" w:themeTint="BF"/>
        <w:insideH w:val="single" w:sz="8" w:space="0" w:color="3D4EB8" w:themeColor="accent2" w:themeTint="BF"/>
      </w:tblBorders>
    </w:tblPr>
    <w:tblStylePr w:type="firstRow">
      <w:pPr>
        <w:spacing w:before="0" w:after="0" w:line="240" w:lineRule="auto"/>
      </w:pPr>
      <w:rPr>
        <w:b/>
        <w:bCs/>
        <w:color w:val="FFFFFF" w:themeColor="background1"/>
      </w:rPr>
      <w:tblPr/>
      <w:tcPr>
        <w:tcBorders>
          <w:top w:val="single" w:sz="8" w:space="0" w:color="3D4EB8" w:themeColor="accent2" w:themeTint="BF"/>
          <w:left w:val="single" w:sz="8" w:space="0" w:color="3D4EB8" w:themeColor="accent2" w:themeTint="BF"/>
          <w:bottom w:val="single" w:sz="8" w:space="0" w:color="3D4EB8" w:themeColor="accent2" w:themeTint="BF"/>
          <w:right w:val="single" w:sz="8" w:space="0" w:color="3D4EB8" w:themeColor="accent2" w:themeTint="BF"/>
          <w:insideH w:val="nil"/>
          <w:insideV w:val="nil"/>
        </w:tcBorders>
        <w:shd w:val="clear" w:color="auto" w:fill="273276" w:themeFill="accent2"/>
      </w:tcPr>
    </w:tblStylePr>
    <w:tblStylePr w:type="lastRow">
      <w:pPr>
        <w:spacing w:before="0" w:after="0" w:line="240" w:lineRule="auto"/>
      </w:pPr>
      <w:rPr>
        <w:b/>
        <w:bCs/>
      </w:rPr>
      <w:tblPr/>
      <w:tcPr>
        <w:tcBorders>
          <w:top w:val="double" w:sz="6" w:space="0" w:color="3D4EB8" w:themeColor="accent2" w:themeTint="BF"/>
          <w:left w:val="single" w:sz="8" w:space="0" w:color="3D4EB8" w:themeColor="accent2" w:themeTint="BF"/>
          <w:bottom w:val="single" w:sz="8" w:space="0" w:color="3D4EB8" w:themeColor="accent2" w:themeTint="BF"/>
          <w:right w:val="single" w:sz="8" w:space="0" w:color="3D4EB8" w:themeColor="accent2" w:themeTint="BF"/>
          <w:insideH w:val="nil"/>
          <w:insideV w:val="nil"/>
        </w:tcBorders>
      </w:tcPr>
    </w:tblStylePr>
    <w:tblStylePr w:type="firstCol">
      <w:rPr>
        <w:b/>
        <w:bCs/>
      </w:rPr>
    </w:tblStylePr>
    <w:tblStylePr w:type="lastCol">
      <w:rPr>
        <w:b/>
        <w:bCs/>
      </w:rPr>
    </w:tblStylePr>
    <w:tblStylePr w:type="band1Vert">
      <w:tblPr/>
      <w:tcPr>
        <w:shd w:val="clear" w:color="auto" w:fill="BDC3E9" w:themeFill="accent2" w:themeFillTint="3F"/>
      </w:tcPr>
    </w:tblStylePr>
    <w:tblStylePr w:type="band1Horz">
      <w:tblPr/>
      <w:tcPr>
        <w:tcBorders>
          <w:insideH w:val="nil"/>
          <w:insideV w:val="nil"/>
        </w:tcBorders>
        <w:shd w:val="clear" w:color="auto" w:fill="BDC3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013F1" w:themeColor="accent3" w:themeTint="BF"/>
        <w:left w:val="single" w:sz="8" w:space="0" w:color="8013F1" w:themeColor="accent3" w:themeTint="BF"/>
        <w:bottom w:val="single" w:sz="8" w:space="0" w:color="8013F1" w:themeColor="accent3" w:themeTint="BF"/>
        <w:right w:val="single" w:sz="8" w:space="0" w:color="8013F1" w:themeColor="accent3" w:themeTint="BF"/>
        <w:insideH w:val="single" w:sz="8" w:space="0" w:color="8013F1" w:themeColor="accent3" w:themeTint="BF"/>
      </w:tblBorders>
    </w:tblPr>
    <w:tblStylePr w:type="firstRow">
      <w:pPr>
        <w:spacing w:before="0" w:after="0" w:line="240" w:lineRule="auto"/>
      </w:pPr>
      <w:rPr>
        <w:b/>
        <w:bCs/>
        <w:color w:val="FFFFFF" w:themeColor="background1"/>
      </w:rPr>
      <w:tblPr/>
      <w:tcPr>
        <w:tcBorders>
          <w:top w:val="single" w:sz="8" w:space="0" w:color="8013F1" w:themeColor="accent3" w:themeTint="BF"/>
          <w:left w:val="single" w:sz="8" w:space="0" w:color="8013F1" w:themeColor="accent3" w:themeTint="BF"/>
          <w:bottom w:val="single" w:sz="8" w:space="0" w:color="8013F1" w:themeColor="accent3" w:themeTint="BF"/>
          <w:right w:val="single" w:sz="8" w:space="0" w:color="8013F1" w:themeColor="accent3" w:themeTint="BF"/>
          <w:insideH w:val="nil"/>
          <w:insideV w:val="nil"/>
        </w:tcBorders>
        <w:shd w:val="clear" w:color="auto" w:fill="580AA8" w:themeFill="accent3"/>
      </w:tcPr>
    </w:tblStylePr>
    <w:tblStylePr w:type="lastRow">
      <w:pPr>
        <w:spacing w:before="0" w:after="0" w:line="240" w:lineRule="auto"/>
      </w:pPr>
      <w:rPr>
        <w:b/>
        <w:bCs/>
      </w:rPr>
      <w:tblPr/>
      <w:tcPr>
        <w:tcBorders>
          <w:top w:val="double" w:sz="6" w:space="0" w:color="8013F1" w:themeColor="accent3" w:themeTint="BF"/>
          <w:left w:val="single" w:sz="8" w:space="0" w:color="8013F1" w:themeColor="accent3" w:themeTint="BF"/>
          <w:bottom w:val="single" w:sz="8" w:space="0" w:color="8013F1" w:themeColor="accent3" w:themeTint="BF"/>
          <w:right w:val="single" w:sz="8" w:space="0" w:color="8013F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B1FA" w:themeFill="accent3" w:themeFillTint="3F"/>
      </w:tcPr>
    </w:tblStylePr>
    <w:tblStylePr w:type="band1Horz">
      <w:tblPr/>
      <w:tcPr>
        <w:tcBorders>
          <w:insideH w:val="nil"/>
          <w:insideV w:val="nil"/>
        </w:tcBorders>
        <w:shd w:val="clear" w:color="auto" w:fill="D5B1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4C9FF" w:themeColor="accent4" w:themeTint="BF"/>
        <w:left w:val="single" w:sz="8" w:space="0" w:color="34C9FF" w:themeColor="accent4" w:themeTint="BF"/>
        <w:bottom w:val="single" w:sz="8" w:space="0" w:color="34C9FF" w:themeColor="accent4" w:themeTint="BF"/>
        <w:right w:val="single" w:sz="8" w:space="0" w:color="34C9FF" w:themeColor="accent4" w:themeTint="BF"/>
        <w:insideH w:val="single" w:sz="8" w:space="0" w:color="34C9FF" w:themeColor="accent4" w:themeTint="BF"/>
      </w:tblBorders>
    </w:tblPr>
    <w:tblStylePr w:type="firstRow">
      <w:pPr>
        <w:spacing w:before="0" w:after="0" w:line="240" w:lineRule="auto"/>
      </w:pPr>
      <w:rPr>
        <w:b/>
        <w:bCs/>
        <w:color w:val="FFFFFF" w:themeColor="background1"/>
      </w:rPr>
      <w:tblPr/>
      <w:tcPr>
        <w:tcBorders>
          <w:top w:val="single" w:sz="8" w:space="0" w:color="34C9FF" w:themeColor="accent4" w:themeTint="BF"/>
          <w:left w:val="single" w:sz="8" w:space="0" w:color="34C9FF" w:themeColor="accent4" w:themeTint="BF"/>
          <w:bottom w:val="single" w:sz="8" w:space="0" w:color="34C9FF" w:themeColor="accent4" w:themeTint="BF"/>
          <w:right w:val="single" w:sz="8" w:space="0" w:color="34C9FF" w:themeColor="accent4" w:themeTint="BF"/>
          <w:insideH w:val="nil"/>
          <w:insideV w:val="nil"/>
        </w:tcBorders>
        <w:shd w:val="clear" w:color="auto" w:fill="00B0F0" w:themeFill="accent4"/>
      </w:tcPr>
    </w:tblStylePr>
    <w:tblStylePr w:type="lastRow">
      <w:pPr>
        <w:spacing w:before="0" w:after="0" w:line="240" w:lineRule="auto"/>
      </w:pPr>
      <w:rPr>
        <w:b/>
        <w:bCs/>
      </w:rPr>
      <w:tblPr/>
      <w:tcPr>
        <w:tcBorders>
          <w:top w:val="double" w:sz="6" w:space="0" w:color="34C9FF" w:themeColor="accent4" w:themeTint="BF"/>
          <w:left w:val="single" w:sz="8" w:space="0" w:color="34C9FF" w:themeColor="accent4" w:themeTint="BF"/>
          <w:bottom w:val="single" w:sz="8" w:space="0" w:color="34C9FF" w:themeColor="accent4" w:themeTint="BF"/>
          <w:right w:val="single" w:sz="8" w:space="0" w:color="34C9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DFF" w:themeFill="accent4" w:themeFillTint="3F"/>
      </w:tcPr>
    </w:tblStylePr>
    <w:tblStylePr w:type="band1Horz">
      <w:tblPr/>
      <w:tcPr>
        <w:tcBorders>
          <w:insideH w:val="nil"/>
          <w:insideV w:val="nil"/>
        </w:tcBorders>
        <w:shd w:val="clear" w:color="auto" w:fill="BCED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00F200" w:themeColor="accent5" w:themeTint="BF"/>
        <w:left w:val="single" w:sz="8" w:space="0" w:color="00F200" w:themeColor="accent5" w:themeTint="BF"/>
        <w:bottom w:val="single" w:sz="8" w:space="0" w:color="00F200" w:themeColor="accent5" w:themeTint="BF"/>
        <w:right w:val="single" w:sz="8" w:space="0" w:color="00F200" w:themeColor="accent5" w:themeTint="BF"/>
        <w:insideH w:val="single" w:sz="8" w:space="0" w:color="00F200" w:themeColor="accent5" w:themeTint="BF"/>
      </w:tblBorders>
    </w:tblPr>
    <w:tblStylePr w:type="firstRow">
      <w:pPr>
        <w:spacing w:before="0" w:after="0" w:line="240" w:lineRule="auto"/>
      </w:pPr>
      <w:rPr>
        <w:b/>
        <w:bCs/>
        <w:color w:val="FFFFFF" w:themeColor="background1"/>
      </w:rPr>
      <w:tblPr/>
      <w:tcPr>
        <w:tcBorders>
          <w:top w:val="single" w:sz="8" w:space="0" w:color="00F200" w:themeColor="accent5" w:themeTint="BF"/>
          <w:left w:val="single" w:sz="8" w:space="0" w:color="00F200" w:themeColor="accent5" w:themeTint="BF"/>
          <w:bottom w:val="single" w:sz="8" w:space="0" w:color="00F200" w:themeColor="accent5" w:themeTint="BF"/>
          <w:right w:val="single" w:sz="8" w:space="0" w:color="00F200" w:themeColor="accent5" w:themeTint="BF"/>
          <w:insideH w:val="nil"/>
          <w:insideV w:val="nil"/>
        </w:tcBorders>
        <w:shd w:val="clear" w:color="auto" w:fill="009900" w:themeFill="accent5"/>
      </w:tcPr>
    </w:tblStylePr>
    <w:tblStylePr w:type="lastRow">
      <w:pPr>
        <w:spacing w:before="0" w:after="0" w:line="240" w:lineRule="auto"/>
      </w:pPr>
      <w:rPr>
        <w:b/>
        <w:bCs/>
      </w:rPr>
      <w:tblPr/>
      <w:tcPr>
        <w:tcBorders>
          <w:top w:val="double" w:sz="6" w:space="0" w:color="00F200" w:themeColor="accent5" w:themeTint="BF"/>
          <w:left w:val="single" w:sz="8" w:space="0" w:color="00F200" w:themeColor="accent5" w:themeTint="BF"/>
          <w:bottom w:val="single" w:sz="8" w:space="0" w:color="00F200" w:themeColor="accent5" w:themeTint="BF"/>
          <w:right w:val="single" w:sz="8" w:space="0" w:color="0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A6FFA6" w:themeFill="accent5" w:themeFillTint="3F"/>
      </w:tcPr>
    </w:tblStylePr>
    <w:tblStylePr w:type="band1Horz">
      <w:tblPr/>
      <w:tcPr>
        <w:tcBorders>
          <w:insideH w:val="nil"/>
          <w:insideV w:val="nil"/>
        </w:tcBorders>
        <w:shd w:val="clear" w:color="auto" w:fill="A6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EF4343" w:themeColor="accent6" w:themeTint="BF"/>
        <w:left w:val="single" w:sz="8" w:space="0" w:color="EF4343" w:themeColor="accent6" w:themeTint="BF"/>
        <w:bottom w:val="single" w:sz="8" w:space="0" w:color="EF4343" w:themeColor="accent6" w:themeTint="BF"/>
        <w:right w:val="single" w:sz="8" w:space="0" w:color="EF4343" w:themeColor="accent6" w:themeTint="BF"/>
        <w:insideH w:val="single" w:sz="8" w:space="0" w:color="EF4343" w:themeColor="accent6" w:themeTint="BF"/>
      </w:tblBorders>
    </w:tblPr>
    <w:tblStylePr w:type="firstRow">
      <w:pPr>
        <w:spacing w:before="0" w:after="0" w:line="240" w:lineRule="auto"/>
      </w:pPr>
      <w:rPr>
        <w:b/>
        <w:bCs/>
        <w:color w:val="FFFFFF" w:themeColor="background1"/>
      </w:rPr>
      <w:tblPr/>
      <w:tcPr>
        <w:tcBorders>
          <w:top w:val="single" w:sz="8" w:space="0" w:color="EF4343" w:themeColor="accent6" w:themeTint="BF"/>
          <w:left w:val="single" w:sz="8" w:space="0" w:color="EF4343" w:themeColor="accent6" w:themeTint="BF"/>
          <w:bottom w:val="single" w:sz="8" w:space="0" w:color="EF4343" w:themeColor="accent6" w:themeTint="BF"/>
          <w:right w:val="single" w:sz="8" w:space="0" w:color="EF4343" w:themeColor="accent6" w:themeTint="BF"/>
          <w:insideH w:val="nil"/>
          <w:insideV w:val="nil"/>
        </w:tcBorders>
        <w:shd w:val="clear" w:color="auto" w:fill="DE1212" w:themeFill="accent6"/>
      </w:tcPr>
    </w:tblStylePr>
    <w:tblStylePr w:type="lastRow">
      <w:pPr>
        <w:spacing w:before="0" w:after="0" w:line="240" w:lineRule="auto"/>
      </w:pPr>
      <w:rPr>
        <w:b/>
        <w:bCs/>
      </w:rPr>
      <w:tblPr/>
      <w:tcPr>
        <w:tcBorders>
          <w:top w:val="double" w:sz="6" w:space="0" w:color="EF4343" w:themeColor="accent6" w:themeTint="BF"/>
          <w:left w:val="single" w:sz="8" w:space="0" w:color="EF4343" w:themeColor="accent6" w:themeTint="BF"/>
          <w:bottom w:val="single" w:sz="8" w:space="0" w:color="EF4343" w:themeColor="accent6" w:themeTint="BF"/>
          <w:right w:val="single" w:sz="8" w:space="0" w:color="EF434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C1C1" w:themeFill="accent6" w:themeFillTint="3F"/>
      </w:tcPr>
    </w:tblStylePr>
    <w:tblStylePr w:type="band1Horz">
      <w:tblPr/>
      <w:tcPr>
        <w:tcBorders>
          <w:insideH w:val="nil"/>
          <w:insideV w:val="nil"/>
        </w:tcBorders>
        <w:shd w:val="clear" w:color="auto" w:fill="FAC1C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7B2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7B2D" w:themeFill="accent1"/>
      </w:tcPr>
    </w:tblStylePr>
    <w:tblStylePr w:type="lastCol">
      <w:rPr>
        <w:b/>
        <w:bCs/>
        <w:color w:val="FFFFFF" w:themeColor="background1"/>
      </w:rPr>
      <w:tblPr/>
      <w:tcPr>
        <w:tcBorders>
          <w:left w:val="nil"/>
          <w:right w:val="nil"/>
          <w:insideH w:val="nil"/>
          <w:insideV w:val="nil"/>
        </w:tcBorders>
        <w:shd w:val="clear" w:color="auto" w:fill="A67B2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327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73276" w:themeFill="accent2"/>
      </w:tcPr>
    </w:tblStylePr>
    <w:tblStylePr w:type="lastCol">
      <w:rPr>
        <w:b/>
        <w:bCs/>
        <w:color w:val="FFFFFF" w:themeColor="background1"/>
      </w:rPr>
      <w:tblPr/>
      <w:tcPr>
        <w:tcBorders>
          <w:left w:val="nil"/>
          <w:right w:val="nil"/>
          <w:insideH w:val="nil"/>
          <w:insideV w:val="nil"/>
        </w:tcBorders>
        <w:shd w:val="clear" w:color="auto" w:fill="27327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0AA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0AA8" w:themeFill="accent3"/>
      </w:tcPr>
    </w:tblStylePr>
    <w:tblStylePr w:type="lastCol">
      <w:rPr>
        <w:b/>
        <w:bCs/>
        <w:color w:val="FFFFFF" w:themeColor="background1"/>
      </w:rPr>
      <w:tblPr/>
      <w:tcPr>
        <w:tcBorders>
          <w:left w:val="nil"/>
          <w:right w:val="nil"/>
          <w:insideH w:val="nil"/>
          <w:insideV w:val="nil"/>
        </w:tcBorders>
        <w:shd w:val="clear" w:color="auto" w:fill="580AA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0F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0F0" w:themeFill="accent4"/>
      </w:tcPr>
    </w:tblStylePr>
    <w:tblStylePr w:type="lastCol">
      <w:rPr>
        <w:b/>
        <w:bCs/>
        <w:color w:val="FFFFFF" w:themeColor="background1"/>
      </w:rPr>
      <w:tblPr/>
      <w:tcPr>
        <w:tcBorders>
          <w:left w:val="nil"/>
          <w:right w:val="nil"/>
          <w:insideH w:val="nil"/>
          <w:insideV w:val="nil"/>
        </w:tcBorders>
        <w:shd w:val="clear" w:color="auto" w:fill="00B0F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00" w:themeFill="accent5"/>
      </w:tcPr>
    </w:tblStylePr>
    <w:tblStylePr w:type="lastCol">
      <w:rPr>
        <w:b/>
        <w:bCs/>
        <w:color w:val="FFFFFF" w:themeColor="background1"/>
      </w:rPr>
      <w:tblPr/>
      <w:tcPr>
        <w:tcBorders>
          <w:left w:val="nil"/>
          <w:right w:val="nil"/>
          <w:insideH w:val="nil"/>
          <w:insideV w:val="nil"/>
        </w:tcBorders>
        <w:shd w:val="clear" w:color="auto" w:fill="00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121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1212" w:themeFill="accent6"/>
      </w:tcPr>
    </w:tblStylePr>
    <w:tblStylePr w:type="lastCol">
      <w:rPr>
        <w:b/>
        <w:bCs/>
        <w:color w:val="FFFFFF" w:themeColor="background1"/>
      </w:rPr>
      <w:tblPr/>
      <w:tcPr>
        <w:tcBorders>
          <w:left w:val="nil"/>
          <w:right w:val="nil"/>
          <w:insideH w:val="nil"/>
          <w:insideV w:val="nil"/>
        </w:tcBorders>
        <w:shd w:val="clear" w:color="auto" w:fill="DE121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0606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A67B2D" w:themeColor="accent1"/>
        <w:bottom w:val="single" w:sz="8" w:space="0" w:color="A67B2D" w:themeColor="accent1"/>
      </w:tblBorders>
    </w:tblPr>
    <w:tblStylePr w:type="firstRow">
      <w:rPr>
        <w:rFonts w:asciiTheme="majorHAnsi" w:eastAsiaTheme="majorEastAsia" w:hAnsiTheme="majorHAnsi" w:cstheme="majorBidi"/>
      </w:rPr>
      <w:tblPr/>
      <w:tcPr>
        <w:tcBorders>
          <w:top w:val="nil"/>
          <w:bottom w:val="single" w:sz="8" w:space="0" w:color="A67B2D" w:themeColor="accent1"/>
        </w:tcBorders>
      </w:tcPr>
    </w:tblStylePr>
    <w:tblStylePr w:type="lastRow">
      <w:rPr>
        <w:b/>
        <w:bCs/>
        <w:color w:val="606060" w:themeColor="text2"/>
      </w:rPr>
      <w:tblPr/>
      <w:tcPr>
        <w:tcBorders>
          <w:top w:val="single" w:sz="8" w:space="0" w:color="A67B2D" w:themeColor="accent1"/>
          <w:bottom w:val="single" w:sz="8" w:space="0" w:color="A67B2D" w:themeColor="accent1"/>
        </w:tcBorders>
      </w:tcPr>
    </w:tblStylePr>
    <w:tblStylePr w:type="firstCol">
      <w:rPr>
        <w:b/>
        <w:bCs/>
      </w:rPr>
    </w:tblStylePr>
    <w:tblStylePr w:type="lastCol">
      <w:rPr>
        <w:b/>
        <w:bCs/>
      </w:rPr>
      <w:tblPr/>
      <w:tcPr>
        <w:tcBorders>
          <w:top w:val="single" w:sz="8" w:space="0" w:color="A67B2D" w:themeColor="accent1"/>
          <w:bottom w:val="single" w:sz="8" w:space="0" w:color="A67B2D" w:themeColor="accent1"/>
        </w:tcBorders>
      </w:tcPr>
    </w:tblStylePr>
    <w:tblStylePr w:type="band1Vert">
      <w:tblPr/>
      <w:tcPr>
        <w:shd w:val="clear" w:color="auto" w:fill="EFE0C4" w:themeFill="accent1" w:themeFillTint="3F"/>
      </w:tcPr>
    </w:tblStylePr>
    <w:tblStylePr w:type="band1Horz">
      <w:tblPr/>
      <w:tcPr>
        <w:shd w:val="clear" w:color="auto" w:fill="EFE0C4"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273276" w:themeColor="accent2"/>
        <w:bottom w:val="single" w:sz="8" w:space="0" w:color="273276" w:themeColor="accent2"/>
      </w:tblBorders>
    </w:tblPr>
    <w:tblStylePr w:type="firstRow">
      <w:rPr>
        <w:rFonts w:asciiTheme="majorHAnsi" w:eastAsiaTheme="majorEastAsia" w:hAnsiTheme="majorHAnsi" w:cstheme="majorBidi"/>
      </w:rPr>
      <w:tblPr/>
      <w:tcPr>
        <w:tcBorders>
          <w:top w:val="nil"/>
          <w:bottom w:val="single" w:sz="8" w:space="0" w:color="273276" w:themeColor="accent2"/>
        </w:tcBorders>
      </w:tcPr>
    </w:tblStylePr>
    <w:tblStylePr w:type="lastRow">
      <w:rPr>
        <w:b/>
        <w:bCs/>
        <w:color w:val="606060" w:themeColor="text2"/>
      </w:rPr>
      <w:tblPr/>
      <w:tcPr>
        <w:tcBorders>
          <w:top w:val="single" w:sz="8" w:space="0" w:color="273276" w:themeColor="accent2"/>
          <w:bottom w:val="single" w:sz="8" w:space="0" w:color="273276" w:themeColor="accent2"/>
        </w:tcBorders>
      </w:tcPr>
    </w:tblStylePr>
    <w:tblStylePr w:type="firstCol">
      <w:rPr>
        <w:b/>
        <w:bCs/>
      </w:rPr>
    </w:tblStylePr>
    <w:tblStylePr w:type="lastCol">
      <w:rPr>
        <w:b/>
        <w:bCs/>
      </w:rPr>
      <w:tblPr/>
      <w:tcPr>
        <w:tcBorders>
          <w:top w:val="single" w:sz="8" w:space="0" w:color="273276" w:themeColor="accent2"/>
          <w:bottom w:val="single" w:sz="8" w:space="0" w:color="273276" w:themeColor="accent2"/>
        </w:tcBorders>
      </w:tcPr>
    </w:tblStylePr>
    <w:tblStylePr w:type="band1Vert">
      <w:tblPr/>
      <w:tcPr>
        <w:shd w:val="clear" w:color="auto" w:fill="BDC3E9" w:themeFill="accent2" w:themeFillTint="3F"/>
      </w:tcPr>
    </w:tblStylePr>
    <w:tblStylePr w:type="band1Horz">
      <w:tblPr/>
      <w:tcPr>
        <w:shd w:val="clear" w:color="auto" w:fill="BDC3E9"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580AA8" w:themeColor="accent3"/>
        <w:bottom w:val="single" w:sz="8" w:space="0" w:color="580AA8" w:themeColor="accent3"/>
      </w:tblBorders>
    </w:tblPr>
    <w:tblStylePr w:type="firstRow">
      <w:rPr>
        <w:rFonts w:asciiTheme="majorHAnsi" w:eastAsiaTheme="majorEastAsia" w:hAnsiTheme="majorHAnsi" w:cstheme="majorBidi"/>
      </w:rPr>
      <w:tblPr/>
      <w:tcPr>
        <w:tcBorders>
          <w:top w:val="nil"/>
          <w:bottom w:val="single" w:sz="8" w:space="0" w:color="580AA8" w:themeColor="accent3"/>
        </w:tcBorders>
      </w:tcPr>
    </w:tblStylePr>
    <w:tblStylePr w:type="lastRow">
      <w:rPr>
        <w:b/>
        <w:bCs/>
        <w:color w:val="606060" w:themeColor="text2"/>
      </w:rPr>
      <w:tblPr/>
      <w:tcPr>
        <w:tcBorders>
          <w:top w:val="single" w:sz="8" w:space="0" w:color="580AA8" w:themeColor="accent3"/>
          <w:bottom w:val="single" w:sz="8" w:space="0" w:color="580AA8" w:themeColor="accent3"/>
        </w:tcBorders>
      </w:tcPr>
    </w:tblStylePr>
    <w:tblStylePr w:type="firstCol">
      <w:rPr>
        <w:b/>
        <w:bCs/>
      </w:rPr>
    </w:tblStylePr>
    <w:tblStylePr w:type="lastCol">
      <w:rPr>
        <w:b/>
        <w:bCs/>
      </w:rPr>
      <w:tblPr/>
      <w:tcPr>
        <w:tcBorders>
          <w:top w:val="single" w:sz="8" w:space="0" w:color="580AA8" w:themeColor="accent3"/>
          <w:bottom w:val="single" w:sz="8" w:space="0" w:color="580AA8" w:themeColor="accent3"/>
        </w:tcBorders>
      </w:tcPr>
    </w:tblStylePr>
    <w:tblStylePr w:type="band1Vert">
      <w:tblPr/>
      <w:tcPr>
        <w:shd w:val="clear" w:color="auto" w:fill="D5B1FA" w:themeFill="accent3" w:themeFillTint="3F"/>
      </w:tcPr>
    </w:tblStylePr>
    <w:tblStylePr w:type="band1Horz">
      <w:tblPr/>
      <w:tcPr>
        <w:shd w:val="clear" w:color="auto" w:fill="D5B1F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0B0F0" w:themeColor="accent4"/>
        <w:bottom w:val="single" w:sz="8" w:space="0" w:color="00B0F0" w:themeColor="accent4"/>
      </w:tblBorders>
    </w:tblPr>
    <w:tblStylePr w:type="firstRow">
      <w:rPr>
        <w:rFonts w:asciiTheme="majorHAnsi" w:eastAsiaTheme="majorEastAsia" w:hAnsiTheme="majorHAnsi" w:cstheme="majorBidi"/>
      </w:rPr>
      <w:tblPr/>
      <w:tcPr>
        <w:tcBorders>
          <w:top w:val="nil"/>
          <w:bottom w:val="single" w:sz="8" w:space="0" w:color="00B0F0" w:themeColor="accent4"/>
        </w:tcBorders>
      </w:tcPr>
    </w:tblStylePr>
    <w:tblStylePr w:type="lastRow">
      <w:rPr>
        <w:b/>
        <w:bCs/>
        <w:color w:val="606060" w:themeColor="text2"/>
      </w:rPr>
      <w:tblPr/>
      <w:tcPr>
        <w:tcBorders>
          <w:top w:val="single" w:sz="8" w:space="0" w:color="00B0F0" w:themeColor="accent4"/>
          <w:bottom w:val="single" w:sz="8" w:space="0" w:color="00B0F0" w:themeColor="accent4"/>
        </w:tcBorders>
      </w:tcPr>
    </w:tblStylePr>
    <w:tblStylePr w:type="firstCol">
      <w:rPr>
        <w:b/>
        <w:bCs/>
      </w:rPr>
    </w:tblStylePr>
    <w:tblStylePr w:type="lastCol">
      <w:rPr>
        <w:b/>
        <w:bCs/>
      </w:rPr>
      <w:tblPr/>
      <w:tcPr>
        <w:tcBorders>
          <w:top w:val="single" w:sz="8" w:space="0" w:color="00B0F0" w:themeColor="accent4"/>
          <w:bottom w:val="single" w:sz="8" w:space="0" w:color="00B0F0" w:themeColor="accent4"/>
        </w:tcBorders>
      </w:tcPr>
    </w:tblStylePr>
    <w:tblStylePr w:type="band1Vert">
      <w:tblPr/>
      <w:tcPr>
        <w:shd w:val="clear" w:color="auto" w:fill="BCEDFF" w:themeFill="accent4" w:themeFillTint="3F"/>
      </w:tcPr>
    </w:tblStylePr>
    <w:tblStylePr w:type="band1Horz">
      <w:tblPr/>
      <w:tcPr>
        <w:shd w:val="clear" w:color="auto" w:fill="BCEDFF"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009900" w:themeColor="accent5"/>
        <w:bottom w:val="single" w:sz="8" w:space="0" w:color="009900" w:themeColor="accent5"/>
      </w:tblBorders>
    </w:tblPr>
    <w:tblStylePr w:type="firstRow">
      <w:rPr>
        <w:rFonts w:asciiTheme="majorHAnsi" w:eastAsiaTheme="majorEastAsia" w:hAnsiTheme="majorHAnsi" w:cstheme="majorBidi"/>
      </w:rPr>
      <w:tblPr/>
      <w:tcPr>
        <w:tcBorders>
          <w:top w:val="nil"/>
          <w:bottom w:val="single" w:sz="8" w:space="0" w:color="009900" w:themeColor="accent5"/>
        </w:tcBorders>
      </w:tcPr>
    </w:tblStylePr>
    <w:tblStylePr w:type="lastRow">
      <w:rPr>
        <w:b/>
        <w:bCs/>
        <w:color w:val="606060" w:themeColor="text2"/>
      </w:rPr>
      <w:tblPr/>
      <w:tcPr>
        <w:tcBorders>
          <w:top w:val="single" w:sz="8" w:space="0" w:color="009900" w:themeColor="accent5"/>
          <w:bottom w:val="single" w:sz="8" w:space="0" w:color="009900" w:themeColor="accent5"/>
        </w:tcBorders>
      </w:tcPr>
    </w:tblStylePr>
    <w:tblStylePr w:type="firstCol">
      <w:rPr>
        <w:b/>
        <w:bCs/>
      </w:rPr>
    </w:tblStylePr>
    <w:tblStylePr w:type="lastCol">
      <w:rPr>
        <w:b/>
        <w:bCs/>
      </w:rPr>
      <w:tblPr/>
      <w:tcPr>
        <w:tcBorders>
          <w:top w:val="single" w:sz="8" w:space="0" w:color="009900" w:themeColor="accent5"/>
          <w:bottom w:val="single" w:sz="8" w:space="0" w:color="009900" w:themeColor="accent5"/>
        </w:tcBorders>
      </w:tcPr>
    </w:tblStylePr>
    <w:tblStylePr w:type="band1Vert">
      <w:tblPr/>
      <w:tcPr>
        <w:shd w:val="clear" w:color="auto" w:fill="A6FFA6" w:themeFill="accent5" w:themeFillTint="3F"/>
      </w:tcPr>
    </w:tblStylePr>
    <w:tblStylePr w:type="band1Horz">
      <w:tblPr/>
      <w:tcPr>
        <w:shd w:val="clear" w:color="auto" w:fill="A6FFA6"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DE1212" w:themeColor="accent6"/>
        <w:bottom w:val="single" w:sz="8" w:space="0" w:color="DE1212" w:themeColor="accent6"/>
      </w:tblBorders>
    </w:tblPr>
    <w:tblStylePr w:type="firstRow">
      <w:rPr>
        <w:rFonts w:asciiTheme="majorHAnsi" w:eastAsiaTheme="majorEastAsia" w:hAnsiTheme="majorHAnsi" w:cstheme="majorBidi"/>
      </w:rPr>
      <w:tblPr/>
      <w:tcPr>
        <w:tcBorders>
          <w:top w:val="nil"/>
          <w:bottom w:val="single" w:sz="8" w:space="0" w:color="DE1212" w:themeColor="accent6"/>
        </w:tcBorders>
      </w:tcPr>
    </w:tblStylePr>
    <w:tblStylePr w:type="lastRow">
      <w:rPr>
        <w:b/>
        <w:bCs/>
        <w:color w:val="606060" w:themeColor="text2"/>
      </w:rPr>
      <w:tblPr/>
      <w:tcPr>
        <w:tcBorders>
          <w:top w:val="single" w:sz="8" w:space="0" w:color="DE1212" w:themeColor="accent6"/>
          <w:bottom w:val="single" w:sz="8" w:space="0" w:color="DE1212" w:themeColor="accent6"/>
        </w:tcBorders>
      </w:tcPr>
    </w:tblStylePr>
    <w:tblStylePr w:type="firstCol">
      <w:rPr>
        <w:b/>
        <w:bCs/>
      </w:rPr>
    </w:tblStylePr>
    <w:tblStylePr w:type="lastCol">
      <w:rPr>
        <w:b/>
        <w:bCs/>
      </w:rPr>
      <w:tblPr/>
      <w:tcPr>
        <w:tcBorders>
          <w:top w:val="single" w:sz="8" w:space="0" w:color="DE1212" w:themeColor="accent6"/>
          <w:bottom w:val="single" w:sz="8" w:space="0" w:color="DE1212" w:themeColor="accent6"/>
        </w:tcBorders>
      </w:tcPr>
    </w:tblStylePr>
    <w:tblStylePr w:type="band1Vert">
      <w:tblPr/>
      <w:tcPr>
        <w:shd w:val="clear" w:color="auto" w:fill="FAC1C1" w:themeFill="accent6" w:themeFillTint="3F"/>
      </w:tcPr>
    </w:tblStylePr>
    <w:tblStylePr w:type="band1Horz">
      <w:tblPr/>
      <w:tcPr>
        <w:shd w:val="clear" w:color="auto" w:fill="FAC1C1"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67B2D" w:themeColor="accent1"/>
        <w:left w:val="single" w:sz="8" w:space="0" w:color="A67B2D" w:themeColor="accent1"/>
        <w:bottom w:val="single" w:sz="8" w:space="0" w:color="A67B2D" w:themeColor="accent1"/>
        <w:right w:val="single" w:sz="8" w:space="0" w:color="A67B2D" w:themeColor="accent1"/>
      </w:tblBorders>
    </w:tblPr>
    <w:tblStylePr w:type="firstRow">
      <w:rPr>
        <w:sz w:val="24"/>
        <w:szCs w:val="24"/>
      </w:rPr>
      <w:tblPr/>
      <w:tcPr>
        <w:tcBorders>
          <w:top w:val="nil"/>
          <w:left w:val="nil"/>
          <w:bottom w:val="single" w:sz="24" w:space="0" w:color="A67B2D" w:themeColor="accent1"/>
          <w:right w:val="nil"/>
          <w:insideH w:val="nil"/>
          <w:insideV w:val="nil"/>
        </w:tcBorders>
        <w:shd w:val="clear" w:color="auto" w:fill="FFFFFF" w:themeFill="background1"/>
      </w:tcPr>
    </w:tblStylePr>
    <w:tblStylePr w:type="lastRow">
      <w:tblPr/>
      <w:tcPr>
        <w:tcBorders>
          <w:top w:val="single" w:sz="8" w:space="0" w:color="A67B2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7B2D" w:themeColor="accent1"/>
          <w:insideH w:val="nil"/>
          <w:insideV w:val="nil"/>
        </w:tcBorders>
        <w:shd w:val="clear" w:color="auto" w:fill="FFFFFF" w:themeFill="background1"/>
      </w:tcPr>
    </w:tblStylePr>
    <w:tblStylePr w:type="lastCol">
      <w:tblPr/>
      <w:tcPr>
        <w:tcBorders>
          <w:top w:val="nil"/>
          <w:left w:val="single" w:sz="8" w:space="0" w:color="A67B2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0C4" w:themeFill="accent1" w:themeFillTint="3F"/>
      </w:tcPr>
    </w:tblStylePr>
    <w:tblStylePr w:type="band1Horz">
      <w:tblPr/>
      <w:tcPr>
        <w:tcBorders>
          <w:top w:val="nil"/>
          <w:bottom w:val="nil"/>
          <w:insideH w:val="nil"/>
          <w:insideV w:val="nil"/>
        </w:tcBorders>
        <w:shd w:val="clear" w:color="auto" w:fill="EFE0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3276" w:themeColor="accent2"/>
        <w:left w:val="single" w:sz="8" w:space="0" w:color="273276" w:themeColor="accent2"/>
        <w:bottom w:val="single" w:sz="8" w:space="0" w:color="273276" w:themeColor="accent2"/>
        <w:right w:val="single" w:sz="8" w:space="0" w:color="273276" w:themeColor="accent2"/>
      </w:tblBorders>
    </w:tblPr>
    <w:tblStylePr w:type="firstRow">
      <w:rPr>
        <w:sz w:val="24"/>
        <w:szCs w:val="24"/>
      </w:rPr>
      <w:tblPr/>
      <w:tcPr>
        <w:tcBorders>
          <w:top w:val="nil"/>
          <w:left w:val="nil"/>
          <w:bottom w:val="single" w:sz="24" w:space="0" w:color="273276" w:themeColor="accent2"/>
          <w:right w:val="nil"/>
          <w:insideH w:val="nil"/>
          <w:insideV w:val="nil"/>
        </w:tcBorders>
        <w:shd w:val="clear" w:color="auto" w:fill="FFFFFF" w:themeFill="background1"/>
      </w:tcPr>
    </w:tblStylePr>
    <w:tblStylePr w:type="lastRow">
      <w:tblPr/>
      <w:tcPr>
        <w:tcBorders>
          <w:top w:val="single" w:sz="8" w:space="0" w:color="27327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3276" w:themeColor="accent2"/>
          <w:insideH w:val="nil"/>
          <w:insideV w:val="nil"/>
        </w:tcBorders>
        <w:shd w:val="clear" w:color="auto" w:fill="FFFFFF" w:themeFill="background1"/>
      </w:tcPr>
    </w:tblStylePr>
    <w:tblStylePr w:type="lastCol">
      <w:tblPr/>
      <w:tcPr>
        <w:tcBorders>
          <w:top w:val="nil"/>
          <w:left w:val="single" w:sz="8" w:space="0" w:color="27327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C3E9" w:themeFill="accent2" w:themeFillTint="3F"/>
      </w:tcPr>
    </w:tblStylePr>
    <w:tblStylePr w:type="band1Horz">
      <w:tblPr/>
      <w:tcPr>
        <w:tcBorders>
          <w:top w:val="nil"/>
          <w:bottom w:val="nil"/>
          <w:insideH w:val="nil"/>
          <w:insideV w:val="nil"/>
        </w:tcBorders>
        <w:shd w:val="clear" w:color="auto" w:fill="BDC3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0AA8" w:themeColor="accent3"/>
        <w:left w:val="single" w:sz="8" w:space="0" w:color="580AA8" w:themeColor="accent3"/>
        <w:bottom w:val="single" w:sz="8" w:space="0" w:color="580AA8" w:themeColor="accent3"/>
        <w:right w:val="single" w:sz="8" w:space="0" w:color="580AA8" w:themeColor="accent3"/>
      </w:tblBorders>
    </w:tblPr>
    <w:tblStylePr w:type="firstRow">
      <w:rPr>
        <w:sz w:val="24"/>
        <w:szCs w:val="24"/>
      </w:rPr>
      <w:tblPr/>
      <w:tcPr>
        <w:tcBorders>
          <w:top w:val="nil"/>
          <w:left w:val="nil"/>
          <w:bottom w:val="single" w:sz="24" w:space="0" w:color="580AA8" w:themeColor="accent3"/>
          <w:right w:val="nil"/>
          <w:insideH w:val="nil"/>
          <w:insideV w:val="nil"/>
        </w:tcBorders>
        <w:shd w:val="clear" w:color="auto" w:fill="FFFFFF" w:themeFill="background1"/>
      </w:tcPr>
    </w:tblStylePr>
    <w:tblStylePr w:type="lastRow">
      <w:tblPr/>
      <w:tcPr>
        <w:tcBorders>
          <w:top w:val="single" w:sz="8" w:space="0" w:color="580AA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0AA8" w:themeColor="accent3"/>
          <w:insideH w:val="nil"/>
          <w:insideV w:val="nil"/>
        </w:tcBorders>
        <w:shd w:val="clear" w:color="auto" w:fill="FFFFFF" w:themeFill="background1"/>
      </w:tcPr>
    </w:tblStylePr>
    <w:tblStylePr w:type="lastCol">
      <w:tblPr/>
      <w:tcPr>
        <w:tcBorders>
          <w:top w:val="nil"/>
          <w:left w:val="single" w:sz="8" w:space="0" w:color="580AA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B1FA" w:themeFill="accent3" w:themeFillTint="3F"/>
      </w:tcPr>
    </w:tblStylePr>
    <w:tblStylePr w:type="band1Horz">
      <w:tblPr/>
      <w:tcPr>
        <w:tcBorders>
          <w:top w:val="nil"/>
          <w:bottom w:val="nil"/>
          <w:insideH w:val="nil"/>
          <w:insideV w:val="nil"/>
        </w:tcBorders>
        <w:shd w:val="clear" w:color="auto" w:fill="D5B1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0F0" w:themeColor="accent4"/>
        <w:left w:val="single" w:sz="8" w:space="0" w:color="00B0F0" w:themeColor="accent4"/>
        <w:bottom w:val="single" w:sz="8" w:space="0" w:color="00B0F0" w:themeColor="accent4"/>
        <w:right w:val="single" w:sz="8" w:space="0" w:color="00B0F0" w:themeColor="accent4"/>
      </w:tblBorders>
    </w:tblPr>
    <w:tblStylePr w:type="firstRow">
      <w:rPr>
        <w:sz w:val="24"/>
        <w:szCs w:val="24"/>
      </w:rPr>
      <w:tblPr/>
      <w:tcPr>
        <w:tcBorders>
          <w:top w:val="nil"/>
          <w:left w:val="nil"/>
          <w:bottom w:val="single" w:sz="24" w:space="0" w:color="00B0F0" w:themeColor="accent4"/>
          <w:right w:val="nil"/>
          <w:insideH w:val="nil"/>
          <w:insideV w:val="nil"/>
        </w:tcBorders>
        <w:shd w:val="clear" w:color="auto" w:fill="FFFFFF" w:themeFill="background1"/>
      </w:tcPr>
    </w:tblStylePr>
    <w:tblStylePr w:type="lastRow">
      <w:tblPr/>
      <w:tcPr>
        <w:tcBorders>
          <w:top w:val="single" w:sz="8" w:space="0" w:color="00B0F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0F0" w:themeColor="accent4"/>
          <w:insideH w:val="nil"/>
          <w:insideV w:val="nil"/>
        </w:tcBorders>
        <w:shd w:val="clear" w:color="auto" w:fill="FFFFFF" w:themeFill="background1"/>
      </w:tcPr>
    </w:tblStylePr>
    <w:tblStylePr w:type="lastCol">
      <w:tblPr/>
      <w:tcPr>
        <w:tcBorders>
          <w:top w:val="nil"/>
          <w:left w:val="single" w:sz="8" w:space="0" w:color="00B0F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DFF" w:themeFill="accent4" w:themeFillTint="3F"/>
      </w:tcPr>
    </w:tblStylePr>
    <w:tblStylePr w:type="band1Horz">
      <w:tblPr/>
      <w:tcPr>
        <w:tcBorders>
          <w:top w:val="nil"/>
          <w:bottom w:val="nil"/>
          <w:insideH w:val="nil"/>
          <w:insideV w:val="nil"/>
        </w:tcBorders>
        <w:shd w:val="clear" w:color="auto" w:fill="BCED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00" w:themeColor="accent5"/>
        <w:left w:val="single" w:sz="8" w:space="0" w:color="009900" w:themeColor="accent5"/>
        <w:bottom w:val="single" w:sz="8" w:space="0" w:color="009900" w:themeColor="accent5"/>
        <w:right w:val="single" w:sz="8" w:space="0" w:color="009900" w:themeColor="accent5"/>
      </w:tblBorders>
    </w:tblPr>
    <w:tblStylePr w:type="firstRow">
      <w:rPr>
        <w:sz w:val="24"/>
        <w:szCs w:val="24"/>
      </w:rPr>
      <w:tblPr/>
      <w:tcPr>
        <w:tcBorders>
          <w:top w:val="nil"/>
          <w:left w:val="nil"/>
          <w:bottom w:val="single" w:sz="24" w:space="0" w:color="009900" w:themeColor="accent5"/>
          <w:right w:val="nil"/>
          <w:insideH w:val="nil"/>
          <w:insideV w:val="nil"/>
        </w:tcBorders>
        <w:shd w:val="clear" w:color="auto" w:fill="FFFFFF" w:themeFill="background1"/>
      </w:tcPr>
    </w:tblStylePr>
    <w:tblStylePr w:type="lastRow">
      <w:tblPr/>
      <w:tcPr>
        <w:tcBorders>
          <w:top w:val="single" w:sz="8" w:space="0" w:color="00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00" w:themeColor="accent5"/>
          <w:insideH w:val="nil"/>
          <w:insideV w:val="nil"/>
        </w:tcBorders>
        <w:shd w:val="clear" w:color="auto" w:fill="FFFFFF" w:themeFill="background1"/>
      </w:tcPr>
    </w:tblStylePr>
    <w:tblStylePr w:type="lastCol">
      <w:tblPr/>
      <w:tcPr>
        <w:tcBorders>
          <w:top w:val="nil"/>
          <w:left w:val="single" w:sz="8" w:space="0" w:color="00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A6" w:themeFill="accent5" w:themeFillTint="3F"/>
      </w:tcPr>
    </w:tblStylePr>
    <w:tblStylePr w:type="band1Horz">
      <w:tblPr/>
      <w:tcPr>
        <w:tcBorders>
          <w:top w:val="nil"/>
          <w:bottom w:val="nil"/>
          <w:insideH w:val="nil"/>
          <w:insideV w:val="nil"/>
        </w:tcBorders>
        <w:shd w:val="clear" w:color="auto" w:fill="A6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1212" w:themeColor="accent6"/>
        <w:left w:val="single" w:sz="8" w:space="0" w:color="DE1212" w:themeColor="accent6"/>
        <w:bottom w:val="single" w:sz="8" w:space="0" w:color="DE1212" w:themeColor="accent6"/>
        <w:right w:val="single" w:sz="8" w:space="0" w:color="DE1212" w:themeColor="accent6"/>
      </w:tblBorders>
    </w:tblPr>
    <w:tblStylePr w:type="firstRow">
      <w:rPr>
        <w:sz w:val="24"/>
        <w:szCs w:val="24"/>
      </w:rPr>
      <w:tblPr/>
      <w:tcPr>
        <w:tcBorders>
          <w:top w:val="nil"/>
          <w:left w:val="nil"/>
          <w:bottom w:val="single" w:sz="24" w:space="0" w:color="DE1212" w:themeColor="accent6"/>
          <w:right w:val="nil"/>
          <w:insideH w:val="nil"/>
          <w:insideV w:val="nil"/>
        </w:tcBorders>
        <w:shd w:val="clear" w:color="auto" w:fill="FFFFFF" w:themeFill="background1"/>
      </w:tcPr>
    </w:tblStylePr>
    <w:tblStylePr w:type="lastRow">
      <w:tblPr/>
      <w:tcPr>
        <w:tcBorders>
          <w:top w:val="single" w:sz="8" w:space="0" w:color="DE121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1212" w:themeColor="accent6"/>
          <w:insideH w:val="nil"/>
          <w:insideV w:val="nil"/>
        </w:tcBorders>
        <w:shd w:val="clear" w:color="auto" w:fill="FFFFFF" w:themeFill="background1"/>
      </w:tcPr>
    </w:tblStylePr>
    <w:tblStylePr w:type="lastCol">
      <w:tblPr/>
      <w:tcPr>
        <w:tcBorders>
          <w:top w:val="nil"/>
          <w:left w:val="single" w:sz="8" w:space="0" w:color="DE121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1C1" w:themeFill="accent6" w:themeFillTint="3F"/>
      </w:tcPr>
    </w:tblStylePr>
    <w:tblStylePr w:type="band1Horz">
      <w:tblPr/>
      <w:tcPr>
        <w:tcBorders>
          <w:top w:val="nil"/>
          <w:bottom w:val="nil"/>
          <w:insideH w:val="nil"/>
          <w:insideV w:val="nil"/>
        </w:tcBorders>
        <w:shd w:val="clear" w:color="auto" w:fill="FAC1C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CFA14E" w:themeColor="accent1" w:themeTint="BF"/>
        <w:left w:val="single" w:sz="8" w:space="0" w:color="CFA14E" w:themeColor="accent1" w:themeTint="BF"/>
        <w:bottom w:val="single" w:sz="8" w:space="0" w:color="CFA14E" w:themeColor="accent1" w:themeTint="BF"/>
        <w:right w:val="single" w:sz="8" w:space="0" w:color="CFA14E" w:themeColor="accent1" w:themeTint="BF"/>
        <w:insideH w:val="single" w:sz="8" w:space="0" w:color="CFA14E" w:themeColor="accent1" w:themeTint="BF"/>
        <w:insideV w:val="single" w:sz="8" w:space="0" w:color="CFA14E" w:themeColor="accent1" w:themeTint="BF"/>
      </w:tblBorders>
    </w:tblPr>
    <w:tcPr>
      <w:shd w:val="clear" w:color="auto" w:fill="EFE0C4" w:themeFill="accent1" w:themeFillTint="3F"/>
    </w:tcPr>
    <w:tblStylePr w:type="firstRow">
      <w:rPr>
        <w:b/>
        <w:bCs/>
      </w:rPr>
    </w:tblStylePr>
    <w:tblStylePr w:type="lastRow">
      <w:rPr>
        <w:b/>
        <w:bCs/>
      </w:rPr>
      <w:tblPr/>
      <w:tcPr>
        <w:tcBorders>
          <w:top w:val="single" w:sz="18" w:space="0" w:color="CFA14E" w:themeColor="accent1" w:themeTint="BF"/>
        </w:tcBorders>
      </w:tcPr>
    </w:tblStylePr>
    <w:tblStylePr w:type="firstCol">
      <w:rPr>
        <w:b/>
        <w:bCs/>
      </w:rPr>
    </w:tblStylePr>
    <w:tblStylePr w:type="lastCol">
      <w:rPr>
        <w:b/>
        <w:bCs/>
      </w:rPr>
    </w:tblStylePr>
    <w:tblStylePr w:type="band1Vert">
      <w:tblPr/>
      <w:tcPr>
        <w:shd w:val="clear" w:color="auto" w:fill="DFC089" w:themeFill="accent1" w:themeFillTint="7F"/>
      </w:tcPr>
    </w:tblStylePr>
    <w:tblStylePr w:type="band1Horz">
      <w:tblPr/>
      <w:tcPr>
        <w:shd w:val="clear" w:color="auto" w:fill="DFC089"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3D4EB8" w:themeColor="accent2" w:themeTint="BF"/>
        <w:left w:val="single" w:sz="8" w:space="0" w:color="3D4EB8" w:themeColor="accent2" w:themeTint="BF"/>
        <w:bottom w:val="single" w:sz="8" w:space="0" w:color="3D4EB8" w:themeColor="accent2" w:themeTint="BF"/>
        <w:right w:val="single" w:sz="8" w:space="0" w:color="3D4EB8" w:themeColor="accent2" w:themeTint="BF"/>
        <w:insideH w:val="single" w:sz="8" w:space="0" w:color="3D4EB8" w:themeColor="accent2" w:themeTint="BF"/>
        <w:insideV w:val="single" w:sz="8" w:space="0" w:color="3D4EB8" w:themeColor="accent2" w:themeTint="BF"/>
      </w:tblBorders>
    </w:tblPr>
    <w:tcPr>
      <w:shd w:val="clear" w:color="auto" w:fill="BDC3E9" w:themeFill="accent2" w:themeFillTint="3F"/>
    </w:tcPr>
    <w:tblStylePr w:type="firstRow">
      <w:rPr>
        <w:b/>
        <w:bCs/>
      </w:rPr>
    </w:tblStylePr>
    <w:tblStylePr w:type="lastRow">
      <w:rPr>
        <w:b/>
        <w:bCs/>
      </w:rPr>
      <w:tblPr/>
      <w:tcPr>
        <w:tcBorders>
          <w:top w:val="single" w:sz="18" w:space="0" w:color="3D4EB8" w:themeColor="accent2" w:themeTint="BF"/>
        </w:tcBorders>
      </w:tcPr>
    </w:tblStylePr>
    <w:tblStylePr w:type="firstCol">
      <w:rPr>
        <w:b/>
        <w:bCs/>
      </w:rPr>
    </w:tblStylePr>
    <w:tblStylePr w:type="lastCol">
      <w:rPr>
        <w:b/>
        <w:bCs/>
      </w:rPr>
    </w:tblStylePr>
    <w:tblStylePr w:type="band1Vert">
      <w:tblPr/>
      <w:tcPr>
        <w:shd w:val="clear" w:color="auto" w:fill="7A86D3" w:themeFill="accent2" w:themeFillTint="7F"/>
      </w:tcPr>
    </w:tblStylePr>
    <w:tblStylePr w:type="band1Horz">
      <w:tblPr/>
      <w:tcPr>
        <w:shd w:val="clear" w:color="auto" w:fill="7A86D3"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013F1" w:themeColor="accent3" w:themeTint="BF"/>
        <w:left w:val="single" w:sz="8" w:space="0" w:color="8013F1" w:themeColor="accent3" w:themeTint="BF"/>
        <w:bottom w:val="single" w:sz="8" w:space="0" w:color="8013F1" w:themeColor="accent3" w:themeTint="BF"/>
        <w:right w:val="single" w:sz="8" w:space="0" w:color="8013F1" w:themeColor="accent3" w:themeTint="BF"/>
        <w:insideH w:val="single" w:sz="8" w:space="0" w:color="8013F1" w:themeColor="accent3" w:themeTint="BF"/>
        <w:insideV w:val="single" w:sz="8" w:space="0" w:color="8013F1" w:themeColor="accent3" w:themeTint="BF"/>
      </w:tblBorders>
    </w:tblPr>
    <w:tcPr>
      <w:shd w:val="clear" w:color="auto" w:fill="D5B1FA" w:themeFill="accent3" w:themeFillTint="3F"/>
    </w:tcPr>
    <w:tblStylePr w:type="firstRow">
      <w:rPr>
        <w:b/>
        <w:bCs/>
      </w:rPr>
    </w:tblStylePr>
    <w:tblStylePr w:type="lastRow">
      <w:rPr>
        <w:b/>
        <w:bCs/>
      </w:rPr>
      <w:tblPr/>
      <w:tcPr>
        <w:tcBorders>
          <w:top w:val="single" w:sz="18" w:space="0" w:color="8013F1" w:themeColor="accent3" w:themeTint="BF"/>
        </w:tcBorders>
      </w:tcPr>
    </w:tblStylePr>
    <w:tblStylePr w:type="firstCol">
      <w:rPr>
        <w:b/>
        <w:bCs/>
      </w:rPr>
    </w:tblStylePr>
    <w:tblStylePr w:type="lastCol">
      <w:rPr>
        <w:b/>
        <w:bCs/>
      </w:rPr>
    </w:tblStylePr>
    <w:tblStylePr w:type="band1Vert">
      <w:tblPr/>
      <w:tcPr>
        <w:shd w:val="clear" w:color="auto" w:fill="AA62F5" w:themeFill="accent3" w:themeFillTint="7F"/>
      </w:tcPr>
    </w:tblStylePr>
    <w:tblStylePr w:type="band1Horz">
      <w:tblPr/>
      <w:tcPr>
        <w:shd w:val="clear" w:color="auto" w:fill="AA62F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4C9FF" w:themeColor="accent4" w:themeTint="BF"/>
        <w:left w:val="single" w:sz="8" w:space="0" w:color="34C9FF" w:themeColor="accent4" w:themeTint="BF"/>
        <w:bottom w:val="single" w:sz="8" w:space="0" w:color="34C9FF" w:themeColor="accent4" w:themeTint="BF"/>
        <w:right w:val="single" w:sz="8" w:space="0" w:color="34C9FF" w:themeColor="accent4" w:themeTint="BF"/>
        <w:insideH w:val="single" w:sz="8" w:space="0" w:color="34C9FF" w:themeColor="accent4" w:themeTint="BF"/>
        <w:insideV w:val="single" w:sz="8" w:space="0" w:color="34C9FF" w:themeColor="accent4" w:themeTint="BF"/>
      </w:tblBorders>
    </w:tblPr>
    <w:tcPr>
      <w:shd w:val="clear" w:color="auto" w:fill="BCEDFF" w:themeFill="accent4" w:themeFillTint="3F"/>
    </w:tcPr>
    <w:tblStylePr w:type="firstRow">
      <w:rPr>
        <w:b/>
        <w:bCs/>
      </w:rPr>
    </w:tblStylePr>
    <w:tblStylePr w:type="lastRow">
      <w:rPr>
        <w:b/>
        <w:bCs/>
      </w:rPr>
      <w:tblPr/>
      <w:tcPr>
        <w:tcBorders>
          <w:top w:val="single" w:sz="18" w:space="0" w:color="34C9FF" w:themeColor="accent4" w:themeTint="BF"/>
        </w:tcBorders>
      </w:tcPr>
    </w:tblStylePr>
    <w:tblStylePr w:type="firstCol">
      <w:rPr>
        <w:b/>
        <w:bCs/>
      </w:rPr>
    </w:tblStylePr>
    <w:tblStylePr w:type="lastCol">
      <w:rPr>
        <w:b/>
        <w:bCs/>
      </w:rPr>
    </w:tblStylePr>
    <w:tblStylePr w:type="band1Vert">
      <w:tblPr/>
      <w:tcPr>
        <w:shd w:val="clear" w:color="auto" w:fill="78DBFF" w:themeFill="accent4" w:themeFillTint="7F"/>
      </w:tcPr>
    </w:tblStylePr>
    <w:tblStylePr w:type="band1Horz">
      <w:tblPr/>
      <w:tcPr>
        <w:shd w:val="clear" w:color="auto" w:fill="78DBFF"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00F200" w:themeColor="accent5" w:themeTint="BF"/>
        <w:left w:val="single" w:sz="8" w:space="0" w:color="00F200" w:themeColor="accent5" w:themeTint="BF"/>
        <w:bottom w:val="single" w:sz="8" w:space="0" w:color="00F200" w:themeColor="accent5" w:themeTint="BF"/>
        <w:right w:val="single" w:sz="8" w:space="0" w:color="00F200" w:themeColor="accent5" w:themeTint="BF"/>
        <w:insideH w:val="single" w:sz="8" w:space="0" w:color="00F200" w:themeColor="accent5" w:themeTint="BF"/>
        <w:insideV w:val="single" w:sz="8" w:space="0" w:color="00F200" w:themeColor="accent5" w:themeTint="BF"/>
      </w:tblBorders>
    </w:tblPr>
    <w:tcPr>
      <w:shd w:val="clear" w:color="auto" w:fill="A6FFA6" w:themeFill="accent5" w:themeFillTint="3F"/>
    </w:tcPr>
    <w:tblStylePr w:type="firstRow">
      <w:rPr>
        <w:b/>
        <w:bCs/>
      </w:rPr>
    </w:tblStylePr>
    <w:tblStylePr w:type="lastRow">
      <w:rPr>
        <w:b/>
        <w:bCs/>
      </w:rPr>
      <w:tblPr/>
      <w:tcPr>
        <w:tcBorders>
          <w:top w:val="single" w:sz="18" w:space="0" w:color="00F200" w:themeColor="accent5" w:themeTint="BF"/>
        </w:tcBorders>
      </w:tcPr>
    </w:tblStylePr>
    <w:tblStylePr w:type="firstCol">
      <w:rPr>
        <w:b/>
        <w:bCs/>
      </w:rPr>
    </w:tblStylePr>
    <w:tblStylePr w:type="lastCol">
      <w:rPr>
        <w:b/>
        <w:bCs/>
      </w:rPr>
    </w:tblStylePr>
    <w:tblStylePr w:type="band1Vert">
      <w:tblPr/>
      <w:tcPr>
        <w:shd w:val="clear" w:color="auto" w:fill="4DFF4D" w:themeFill="accent5" w:themeFillTint="7F"/>
      </w:tcPr>
    </w:tblStylePr>
    <w:tblStylePr w:type="band1Horz">
      <w:tblPr/>
      <w:tcPr>
        <w:shd w:val="clear" w:color="auto" w:fill="4DFF4D"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EF4343" w:themeColor="accent6" w:themeTint="BF"/>
        <w:left w:val="single" w:sz="8" w:space="0" w:color="EF4343" w:themeColor="accent6" w:themeTint="BF"/>
        <w:bottom w:val="single" w:sz="8" w:space="0" w:color="EF4343" w:themeColor="accent6" w:themeTint="BF"/>
        <w:right w:val="single" w:sz="8" w:space="0" w:color="EF4343" w:themeColor="accent6" w:themeTint="BF"/>
        <w:insideH w:val="single" w:sz="8" w:space="0" w:color="EF4343" w:themeColor="accent6" w:themeTint="BF"/>
        <w:insideV w:val="single" w:sz="8" w:space="0" w:color="EF4343" w:themeColor="accent6" w:themeTint="BF"/>
      </w:tblBorders>
    </w:tblPr>
    <w:tcPr>
      <w:shd w:val="clear" w:color="auto" w:fill="FAC1C1" w:themeFill="accent6" w:themeFillTint="3F"/>
    </w:tcPr>
    <w:tblStylePr w:type="firstRow">
      <w:rPr>
        <w:b/>
        <w:bCs/>
      </w:rPr>
    </w:tblStylePr>
    <w:tblStylePr w:type="lastRow">
      <w:rPr>
        <w:b/>
        <w:bCs/>
      </w:rPr>
      <w:tblPr/>
      <w:tcPr>
        <w:tcBorders>
          <w:top w:val="single" w:sz="18" w:space="0" w:color="EF4343" w:themeColor="accent6" w:themeTint="BF"/>
        </w:tcBorders>
      </w:tcPr>
    </w:tblStylePr>
    <w:tblStylePr w:type="firstCol">
      <w:rPr>
        <w:b/>
        <w:bCs/>
      </w:rPr>
    </w:tblStylePr>
    <w:tblStylePr w:type="lastCol">
      <w:rPr>
        <w:b/>
        <w:bCs/>
      </w:rPr>
    </w:tblStylePr>
    <w:tblStylePr w:type="band1Vert">
      <w:tblPr/>
      <w:tcPr>
        <w:shd w:val="clear" w:color="auto" w:fill="F58282" w:themeFill="accent6" w:themeFillTint="7F"/>
      </w:tcPr>
    </w:tblStylePr>
    <w:tblStylePr w:type="band1Horz">
      <w:tblPr/>
      <w:tcPr>
        <w:shd w:val="clear" w:color="auto" w:fill="F5828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67B2D" w:themeColor="accent1"/>
        <w:left w:val="single" w:sz="8" w:space="0" w:color="A67B2D" w:themeColor="accent1"/>
        <w:bottom w:val="single" w:sz="8" w:space="0" w:color="A67B2D" w:themeColor="accent1"/>
        <w:right w:val="single" w:sz="8" w:space="0" w:color="A67B2D" w:themeColor="accent1"/>
        <w:insideH w:val="single" w:sz="8" w:space="0" w:color="A67B2D" w:themeColor="accent1"/>
        <w:insideV w:val="single" w:sz="8" w:space="0" w:color="A67B2D" w:themeColor="accent1"/>
      </w:tblBorders>
    </w:tblPr>
    <w:tcPr>
      <w:shd w:val="clear" w:color="auto" w:fill="EFE0C4" w:themeFill="accent1" w:themeFillTint="3F"/>
    </w:tcPr>
    <w:tblStylePr w:type="firstRow">
      <w:rPr>
        <w:b/>
        <w:bCs/>
        <w:color w:val="000000" w:themeColor="text1"/>
      </w:rPr>
      <w:tblPr/>
      <w:tcPr>
        <w:shd w:val="clear" w:color="auto" w:fill="F8F2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5CF" w:themeFill="accent1" w:themeFillTint="33"/>
      </w:tcPr>
    </w:tblStylePr>
    <w:tblStylePr w:type="band1Vert">
      <w:tblPr/>
      <w:tcPr>
        <w:shd w:val="clear" w:color="auto" w:fill="DFC089" w:themeFill="accent1" w:themeFillTint="7F"/>
      </w:tcPr>
    </w:tblStylePr>
    <w:tblStylePr w:type="band1Horz">
      <w:tblPr/>
      <w:tcPr>
        <w:tcBorders>
          <w:insideH w:val="single" w:sz="6" w:space="0" w:color="A67B2D" w:themeColor="accent1"/>
          <w:insideV w:val="single" w:sz="6" w:space="0" w:color="A67B2D" w:themeColor="accent1"/>
        </w:tcBorders>
        <w:shd w:val="clear" w:color="auto" w:fill="DFC08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3276" w:themeColor="accent2"/>
        <w:left w:val="single" w:sz="8" w:space="0" w:color="273276" w:themeColor="accent2"/>
        <w:bottom w:val="single" w:sz="8" w:space="0" w:color="273276" w:themeColor="accent2"/>
        <w:right w:val="single" w:sz="8" w:space="0" w:color="273276" w:themeColor="accent2"/>
        <w:insideH w:val="single" w:sz="8" w:space="0" w:color="273276" w:themeColor="accent2"/>
        <w:insideV w:val="single" w:sz="8" w:space="0" w:color="273276" w:themeColor="accent2"/>
      </w:tblBorders>
    </w:tblPr>
    <w:tcPr>
      <w:shd w:val="clear" w:color="auto" w:fill="BDC3E9" w:themeFill="accent2" w:themeFillTint="3F"/>
    </w:tcPr>
    <w:tblStylePr w:type="firstRow">
      <w:rPr>
        <w:b/>
        <w:bCs/>
        <w:color w:val="000000" w:themeColor="text1"/>
      </w:rPr>
      <w:tblPr/>
      <w:tcPr>
        <w:shd w:val="clear" w:color="auto" w:fill="E4E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CEED" w:themeFill="accent2" w:themeFillTint="33"/>
      </w:tcPr>
    </w:tblStylePr>
    <w:tblStylePr w:type="band1Vert">
      <w:tblPr/>
      <w:tcPr>
        <w:shd w:val="clear" w:color="auto" w:fill="7A86D3" w:themeFill="accent2" w:themeFillTint="7F"/>
      </w:tcPr>
    </w:tblStylePr>
    <w:tblStylePr w:type="band1Horz">
      <w:tblPr/>
      <w:tcPr>
        <w:tcBorders>
          <w:insideH w:val="single" w:sz="6" w:space="0" w:color="273276" w:themeColor="accent2"/>
          <w:insideV w:val="single" w:sz="6" w:space="0" w:color="273276" w:themeColor="accent2"/>
        </w:tcBorders>
        <w:shd w:val="clear" w:color="auto" w:fill="7A86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0AA8" w:themeColor="accent3"/>
        <w:left w:val="single" w:sz="8" w:space="0" w:color="580AA8" w:themeColor="accent3"/>
        <w:bottom w:val="single" w:sz="8" w:space="0" w:color="580AA8" w:themeColor="accent3"/>
        <w:right w:val="single" w:sz="8" w:space="0" w:color="580AA8" w:themeColor="accent3"/>
        <w:insideH w:val="single" w:sz="8" w:space="0" w:color="580AA8" w:themeColor="accent3"/>
        <w:insideV w:val="single" w:sz="8" w:space="0" w:color="580AA8" w:themeColor="accent3"/>
      </w:tblBorders>
    </w:tblPr>
    <w:tcPr>
      <w:shd w:val="clear" w:color="auto" w:fill="D5B1FA" w:themeFill="accent3" w:themeFillTint="3F"/>
    </w:tcPr>
    <w:tblStylePr w:type="firstRow">
      <w:rPr>
        <w:b/>
        <w:bCs/>
        <w:color w:val="000000" w:themeColor="text1"/>
      </w:rPr>
      <w:tblPr/>
      <w:tcPr>
        <w:shd w:val="clear" w:color="auto" w:fill="EEE0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0FB" w:themeFill="accent3" w:themeFillTint="33"/>
      </w:tcPr>
    </w:tblStylePr>
    <w:tblStylePr w:type="band1Vert">
      <w:tblPr/>
      <w:tcPr>
        <w:shd w:val="clear" w:color="auto" w:fill="AA62F5" w:themeFill="accent3" w:themeFillTint="7F"/>
      </w:tcPr>
    </w:tblStylePr>
    <w:tblStylePr w:type="band1Horz">
      <w:tblPr/>
      <w:tcPr>
        <w:tcBorders>
          <w:insideH w:val="single" w:sz="6" w:space="0" w:color="580AA8" w:themeColor="accent3"/>
          <w:insideV w:val="single" w:sz="6" w:space="0" w:color="580AA8" w:themeColor="accent3"/>
        </w:tcBorders>
        <w:shd w:val="clear" w:color="auto" w:fill="AA62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0F0" w:themeColor="accent4"/>
        <w:left w:val="single" w:sz="8" w:space="0" w:color="00B0F0" w:themeColor="accent4"/>
        <w:bottom w:val="single" w:sz="8" w:space="0" w:color="00B0F0" w:themeColor="accent4"/>
        <w:right w:val="single" w:sz="8" w:space="0" w:color="00B0F0" w:themeColor="accent4"/>
        <w:insideH w:val="single" w:sz="8" w:space="0" w:color="00B0F0" w:themeColor="accent4"/>
        <w:insideV w:val="single" w:sz="8" w:space="0" w:color="00B0F0" w:themeColor="accent4"/>
      </w:tblBorders>
    </w:tblPr>
    <w:tcPr>
      <w:shd w:val="clear" w:color="auto" w:fill="BCEDFF" w:themeFill="accent4" w:themeFillTint="3F"/>
    </w:tcPr>
    <w:tblStylePr w:type="firstRow">
      <w:rPr>
        <w:b/>
        <w:bCs/>
        <w:color w:val="000000" w:themeColor="text1"/>
      </w:rPr>
      <w:tblPr/>
      <w:tcPr>
        <w:shd w:val="clear" w:color="auto" w:fill="E4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0FF" w:themeFill="accent4" w:themeFillTint="33"/>
      </w:tcPr>
    </w:tblStylePr>
    <w:tblStylePr w:type="band1Vert">
      <w:tblPr/>
      <w:tcPr>
        <w:shd w:val="clear" w:color="auto" w:fill="78DBFF" w:themeFill="accent4" w:themeFillTint="7F"/>
      </w:tcPr>
    </w:tblStylePr>
    <w:tblStylePr w:type="band1Horz">
      <w:tblPr/>
      <w:tcPr>
        <w:tcBorders>
          <w:insideH w:val="single" w:sz="6" w:space="0" w:color="00B0F0" w:themeColor="accent4"/>
          <w:insideV w:val="single" w:sz="6" w:space="0" w:color="00B0F0" w:themeColor="accent4"/>
        </w:tcBorders>
        <w:shd w:val="clear" w:color="auto" w:fill="78DB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00" w:themeColor="accent5"/>
        <w:left w:val="single" w:sz="8" w:space="0" w:color="009900" w:themeColor="accent5"/>
        <w:bottom w:val="single" w:sz="8" w:space="0" w:color="009900" w:themeColor="accent5"/>
        <w:right w:val="single" w:sz="8" w:space="0" w:color="009900" w:themeColor="accent5"/>
        <w:insideH w:val="single" w:sz="8" w:space="0" w:color="009900" w:themeColor="accent5"/>
        <w:insideV w:val="single" w:sz="8" w:space="0" w:color="009900" w:themeColor="accent5"/>
      </w:tblBorders>
    </w:tblPr>
    <w:tcPr>
      <w:shd w:val="clear" w:color="auto" w:fill="A6FFA6" w:themeFill="accent5" w:themeFillTint="3F"/>
    </w:tcPr>
    <w:tblStylePr w:type="firstRow">
      <w:rPr>
        <w:b/>
        <w:bCs/>
        <w:color w:val="000000" w:themeColor="text1"/>
      </w:rPr>
      <w:tblPr/>
      <w:tcPr>
        <w:shd w:val="clear" w:color="auto" w:fill="DC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B7" w:themeFill="accent5" w:themeFillTint="33"/>
      </w:tcPr>
    </w:tblStylePr>
    <w:tblStylePr w:type="band1Vert">
      <w:tblPr/>
      <w:tcPr>
        <w:shd w:val="clear" w:color="auto" w:fill="4DFF4D" w:themeFill="accent5" w:themeFillTint="7F"/>
      </w:tcPr>
    </w:tblStylePr>
    <w:tblStylePr w:type="band1Horz">
      <w:tblPr/>
      <w:tcPr>
        <w:tcBorders>
          <w:insideH w:val="single" w:sz="6" w:space="0" w:color="009900" w:themeColor="accent5"/>
          <w:insideV w:val="single" w:sz="6" w:space="0" w:color="009900" w:themeColor="accent5"/>
        </w:tcBorders>
        <w:shd w:val="clear" w:color="auto" w:fill="4D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1212" w:themeColor="accent6"/>
        <w:left w:val="single" w:sz="8" w:space="0" w:color="DE1212" w:themeColor="accent6"/>
        <w:bottom w:val="single" w:sz="8" w:space="0" w:color="DE1212" w:themeColor="accent6"/>
        <w:right w:val="single" w:sz="8" w:space="0" w:color="DE1212" w:themeColor="accent6"/>
        <w:insideH w:val="single" w:sz="8" w:space="0" w:color="DE1212" w:themeColor="accent6"/>
        <w:insideV w:val="single" w:sz="8" w:space="0" w:color="DE1212" w:themeColor="accent6"/>
      </w:tblBorders>
    </w:tblPr>
    <w:tcPr>
      <w:shd w:val="clear" w:color="auto" w:fill="FAC1C1" w:themeFill="accent6" w:themeFillTint="3F"/>
    </w:tcPr>
    <w:tblStylePr w:type="firstRow">
      <w:rPr>
        <w:b/>
        <w:bCs/>
        <w:color w:val="000000" w:themeColor="text1"/>
      </w:rPr>
      <w:tblPr/>
      <w:tcPr>
        <w:shd w:val="clear" w:color="auto" w:fill="FD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CDCD" w:themeFill="accent6" w:themeFillTint="33"/>
      </w:tcPr>
    </w:tblStylePr>
    <w:tblStylePr w:type="band1Vert">
      <w:tblPr/>
      <w:tcPr>
        <w:shd w:val="clear" w:color="auto" w:fill="F58282" w:themeFill="accent6" w:themeFillTint="7F"/>
      </w:tcPr>
    </w:tblStylePr>
    <w:tblStylePr w:type="band1Horz">
      <w:tblPr/>
      <w:tcPr>
        <w:tcBorders>
          <w:insideH w:val="single" w:sz="6" w:space="0" w:color="DE1212" w:themeColor="accent6"/>
          <w:insideV w:val="single" w:sz="6" w:space="0" w:color="DE1212" w:themeColor="accent6"/>
        </w:tcBorders>
        <w:shd w:val="clear" w:color="auto" w:fill="F5828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0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7B2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7B2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7B2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7B2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C08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C089"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C3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327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327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327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327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86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86D3"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B1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0AA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0AA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0AA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0AA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62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62F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D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0F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0F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0F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0F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B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BFF"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4D"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1C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121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121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121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121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828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828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A67B2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3D1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5B2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5B21" w:themeFill="accent1" w:themeFillShade="BF"/>
      </w:tcPr>
    </w:tblStylePr>
    <w:tblStylePr w:type="band1Vert">
      <w:tblPr/>
      <w:tcPr>
        <w:tcBorders>
          <w:top w:val="nil"/>
          <w:left w:val="nil"/>
          <w:bottom w:val="nil"/>
          <w:right w:val="nil"/>
          <w:insideH w:val="nil"/>
          <w:insideV w:val="nil"/>
        </w:tcBorders>
        <w:shd w:val="clear" w:color="auto" w:fill="7C5B21" w:themeFill="accent1" w:themeFillShade="BF"/>
      </w:tcPr>
    </w:tblStylePr>
    <w:tblStylePr w:type="band1Horz">
      <w:tblPr/>
      <w:tcPr>
        <w:tcBorders>
          <w:top w:val="nil"/>
          <w:left w:val="nil"/>
          <w:bottom w:val="nil"/>
          <w:right w:val="nil"/>
          <w:insideH w:val="nil"/>
          <w:insideV w:val="nil"/>
        </w:tcBorders>
        <w:shd w:val="clear" w:color="auto" w:fill="7C5B2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27327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183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D255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D2558" w:themeFill="accent2" w:themeFillShade="BF"/>
      </w:tcPr>
    </w:tblStylePr>
    <w:tblStylePr w:type="band1Vert">
      <w:tblPr/>
      <w:tcPr>
        <w:tcBorders>
          <w:top w:val="nil"/>
          <w:left w:val="nil"/>
          <w:bottom w:val="nil"/>
          <w:right w:val="nil"/>
          <w:insideH w:val="nil"/>
          <w:insideV w:val="nil"/>
        </w:tcBorders>
        <w:shd w:val="clear" w:color="auto" w:fill="1D2558" w:themeFill="accent2" w:themeFillShade="BF"/>
      </w:tcPr>
    </w:tblStylePr>
    <w:tblStylePr w:type="band1Horz">
      <w:tblPr/>
      <w:tcPr>
        <w:tcBorders>
          <w:top w:val="nil"/>
          <w:left w:val="nil"/>
          <w:bottom w:val="nil"/>
          <w:right w:val="nil"/>
          <w:insideH w:val="nil"/>
          <w:insideV w:val="nil"/>
        </w:tcBorders>
        <w:shd w:val="clear" w:color="auto" w:fill="1D2558"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580AA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05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1077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1077D" w:themeFill="accent3" w:themeFillShade="BF"/>
      </w:tcPr>
    </w:tblStylePr>
    <w:tblStylePr w:type="band1Vert">
      <w:tblPr/>
      <w:tcPr>
        <w:tcBorders>
          <w:top w:val="nil"/>
          <w:left w:val="nil"/>
          <w:bottom w:val="nil"/>
          <w:right w:val="nil"/>
          <w:insideH w:val="nil"/>
          <w:insideV w:val="nil"/>
        </w:tcBorders>
        <w:shd w:val="clear" w:color="auto" w:fill="41077D" w:themeFill="accent3" w:themeFillShade="BF"/>
      </w:tcPr>
    </w:tblStylePr>
    <w:tblStylePr w:type="band1Horz">
      <w:tblPr/>
      <w:tcPr>
        <w:tcBorders>
          <w:top w:val="nil"/>
          <w:left w:val="nil"/>
          <w:bottom w:val="nil"/>
          <w:right w:val="nil"/>
          <w:insideH w:val="nil"/>
          <w:insideV w:val="nil"/>
        </w:tcBorders>
        <w:shd w:val="clear" w:color="auto" w:fill="41077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0B0F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7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3B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3B3" w:themeFill="accent4" w:themeFillShade="BF"/>
      </w:tcPr>
    </w:tblStylePr>
    <w:tblStylePr w:type="band1Vert">
      <w:tblPr/>
      <w:tcPr>
        <w:tcBorders>
          <w:top w:val="nil"/>
          <w:left w:val="nil"/>
          <w:bottom w:val="nil"/>
          <w:right w:val="nil"/>
          <w:insideH w:val="nil"/>
          <w:insideV w:val="nil"/>
        </w:tcBorders>
        <w:shd w:val="clear" w:color="auto" w:fill="0083B3" w:themeFill="accent4" w:themeFillShade="BF"/>
      </w:tcPr>
    </w:tblStylePr>
    <w:tblStylePr w:type="band1Horz">
      <w:tblPr/>
      <w:tcPr>
        <w:tcBorders>
          <w:top w:val="nil"/>
          <w:left w:val="nil"/>
          <w:bottom w:val="nil"/>
          <w:right w:val="nil"/>
          <w:insideH w:val="nil"/>
          <w:insideV w:val="nil"/>
        </w:tcBorders>
        <w:shd w:val="clear" w:color="auto" w:fill="0083B3"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00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200" w:themeFill="accent5" w:themeFillShade="BF"/>
      </w:tcPr>
    </w:tblStylePr>
    <w:tblStylePr w:type="band1Vert">
      <w:tblPr/>
      <w:tcPr>
        <w:tcBorders>
          <w:top w:val="nil"/>
          <w:left w:val="nil"/>
          <w:bottom w:val="nil"/>
          <w:right w:val="nil"/>
          <w:insideH w:val="nil"/>
          <w:insideV w:val="nil"/>
        </w:tcBorders>
        <w:shd w:val="clear" w:color="auto" w:fill="007200" w:themeFill="accent5" w:themeFillShade="BF"/>
      </w:tcPr>
    </w:tblStylePr>
    <w:tblStylePr w:type="band1Horz">
      <w:tblPr/>
      <w:tcPr>
        <w:tcBorders>
          <w:top w:val="nil"/>
          <w:left w:val="nil"/>
          <w:bottom w:val="nil"/>
          <w:right w:val="nil"/>
          <w:insideH w:val="nil"/>
          <w:insideV w:val="nil"/>
        </w:tcBorders>
        <w:shd w:val="clear" w:color="auto" w:fill="0072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DE121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090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60D0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60D0D" w:themeFill="accent6" w:themeFillShade="BF"/>
      </w:tcPr>
    </w:tblStylePr>
    <w:tblStylePr w:type="band1Vert">
      <w:tblPr/>
      <w:tcPr>
        <w:tcBorders>
          <w:top w:val="nil"/>
          <w:left w:val="nil"/>
          <w:bottom w:val="nil"/>
          <w:right w:val="nil"/>
          <w:insideH w:val="nil"/>
          <w:insideV w:val="nil"/>
        </w:tcBorders>
        <w:shd w:val="clear" w:color="auto" w:fill="A60D0D" w:themeFill="accent6" w:themeFillShade="BF"/>
      </w:tcPr>
    </w:tblStylePr>
    <w:tblStylePr w:type="band1Horz">
      <w:tblPr/>
      <w:tcPr>
        <w:tcBorders>
          <w:top w:val="nil"/>
          <w:left w:val="nil"/>
          <w:bottom w:val="nil"/>
          <w:right w:val="nil"/>
          <w:insideH w:val="nil"/>
          <w:insideV w:val="nil"/>
        </w:tcBorders>
        <w:shd w:val="clear" w:color="auto" w:fill="A60D0D"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27327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732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273276" w:themeColor="accent2"/>
        <w:left w:val="single" w:sz="4" w:space="0" w:color="A67B2D" w:themeColor="accent1"/>
        <w:bottom w:val="single" w:sz="4" w:space="0" w:color="A67B2D" w:themeColor="accent1"/>
        <w:right w:val="single" w:sz="4" w:space="0" w:color="A67B2D" w:themeColor="accent1"/>
        <w:insideH w:val="single" w:sz="4" w:space="0" w:color="FFFFFF" w:themeColor="background1"/>
        <w:insideV w:val="single" w:sz="4" w:space="0" w:color="FFFFFF" w:themeColor="background1"/>
      </w:tblBorders>
    </w:tblPr>
    <w:tcPr>
      <w:shd w:val="clear" w:color="auto" w:fill="F8F2E7" w:themeFill="accent1" w:themeFillTint="19"/>
    </w:tcPr>
    <w:tblStylePr w:type="firstRow">
      <w:rPr>
        <w:b/>
        <w:bCs/>
      </w:rPr>
      <w:tblPr/>
      <w:tcPr>
        <w:tcBorders>
          <w:top w:val="nil"/>
          <w:left w:val="nil"/>
          <w:bottom w:val="single" w:sz="24" w:space="0" w:color="2732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491B" w:themeFill="accent1" w:themeFillShade="99"/>
      </w:tcPr>
    </w:tblStylePr>
    <w:tblStylePr w:type="firstCol">
      <w:rPr>
        <w:color w:val="FFFFFF" w:themeColor="background1"/>
      </w:rPr>
      <w:tblPr/>
      <w:tcPr>
        <w:tcBorders>
          <w:top w:val="nil"/>
          <w:left w:val="nil"/>
          <w:bottom w:val="nil"/>
          <w:right w:val="nil"/>
          <w:insideH w:val="single" w:sz="4" w:space="0" w:color="63491B" w:themeColor="accent1" w:themeShade="99"/>
          <w:insideV w:val="nil"/>
        </w:tcBorders>
        <w:shd w:val="clear" w:color="auto" w:fill="63491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491B" w:themeFill="accent1" w:themeFillShade="99"/>
      </w:tcPr>
    </w:tblStylePr>
    <w:tblStylePr w:type="band1Vert">
      <w:tblPr/>
      <w:tcPr>
        <w:shd w:val="clear" w:color="auto" w:fill="E5CCA0" w:themeFill="accent1" w:themeFillTint="66"/>
      </w:tcPr>
    </w:tblStylePr>
    <w:tblStylePr w:type="band1Horz">
      <w:tblPr/>
      <w:tcPr>
        <w:shd w:val="clear" w:color="auto" w:fill="DFC089"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273276" w:themeColor="accent2"/>
        <w:left w:val="single" w:sz="4" w:space="0" w:color="273276" w:themeColor="accent2"/>
        <w:bottom w:val="single" w:sz="4" w:space="0" w:color="273276" w:themeColor="accent2"/>
        <w:right w:val="single" w:sz="4" w:space="0" w:color="273276" w:themeColor="accent2"/>
        <w:insideH w:val="single" w:sz="4" w:space="0" w:color="FFFFFF" w:themeColor="background1"/>
        <w:insideV w:val="single" w:sz="4" w:space="0" w:color="FFFFFF" w:themeColor="background1"/>
      </w:tblBorders>
    </w:tblPr>
    <w:tcPr>
      <w:shd w:val="clear" w:color="auto" w:fill="E4E7F6" w:themeFill="accent2" w:themeFillTint="19"/>
    </w:tcPr>
    <w:tblStylePr w:type="firstRow">
      <w:rPr>
        <w:b/>
        <w:bCs/>
      </w:rPr>
      <w:tblPr/>
      <w:tcPr>
        <w:tcBorders>
          <w:top w:val="nil"/>
          <w:left w:val="nil"/>
          <w:bottom w:val="single" w:sz="24" w:space="0" w:color="2732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1D46" w:themeFill="accent2" w:themeFillShade="99"/>
      </w:tcPr>
    </w:tblStylePr>
    <w:tblStylePr w:type="firstCol">
      <w:rPr>
        <w:color w:val="FFFFFF" w:themeColor="background1"/>
      </w:rPr>
      <w:tblPr/>
      <w:tcPr>
        <w:tcBorders>
          <w:top w:val="nil"/>
          <w:left w:val="nil"/>
          <w:bottom w:val="nil"/>
          <w:right w:val="nil"/>
          <w:insideH w:val="single" w:sz="4" w:space="0" w:color="171D46" w:themeColor="accent2" w:themeShade="99"/>
          <w:insideV w:val="nil"/>
        </w:tcBorders>
        <w:shd w:val="clear" w:color="auto" w:fill="171D4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71D46" w:themeFill="accent2" w:themeFillShade="99"/>
      </w:tcPr>
    </w:tblStylePr>
    <w:tblStylePr w:type="band1Vert">
      <w:tblPr/>
      <w:tcPr>
        <w:shd w:val="clear" w:color="auto" w:fill="949EDC" w:themeFill="accent2" w:themeFillTint="66"/>
      </w:tcPr>
    </w:tblStylePr>
    <w:tblStylePr w:type="band1Horz">
      <w:tblPr/>
      <w:tcPr>
        <w:shd w:val="clear" w:color="auto" w:fill="7A86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0B0F0" w:themeColor="accent4"/>
        <w:left w:val="single" w:sz="4" w:space="0" w:color="580AA8" w:themeColor="accent3"/>
        <w:bottom w:val="single" w:sz="4" w:space="0" w:color="580AA8" w:themeColor="accent3"/>
        <w:right w:val="single" w:sz="4" w:space="0" w:color="580AA8" w:themeColor="accent3"/>
        <w:insideH w:val="single" w:sz="4" w:space="0" w:color="FFFFFF" w:themeColor="background1"/>
        <w:insideV w:val="single" w:sz="4" w:space="0" w:color="FFFFFF" w:themeColor="background1"/>
      </w:tblBorders>
    </w:tblPr>
    <w:tcPr>
      <w:shd w:val="clear" w:color="auto" w:fill="EEE0FD" w:themeFill="accent3" w:themeFillTint="19"/>
    </w:tcPr>
    <w:tblStylePr w:type="firstRow">
      <w:rPr>
        <w:b/>
        <w:bCs/>
      </w:rPr>
      <w:tblPr/>
      <w:tcPr>
        <w:tcBorders>
          <w:top w:val="nil"/>
          <w:left w:val="nil"/>
          <w:bottom w:val="single" w:sz="24" w:space="0" w:color="00B0F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0664" w:themeFill="accent3" w:themeFillShade="99"/>
      </w:tcPr>
    </w:tblStylePr>
    <w:tblStylePr w:type="firstCol">
      <w:rPr>
        <w:color w:val="FFFFFF" w:themeColor="background1"/>
      </w:rPr>
      <w:tblPr/>
      <w:tcPr>
        <w:tcBorders>
          <w:top w:val="nil"/>
          <w:left w:val="nil"/>
          <w:bottom w:val="nil"/>
          <w:right w:val="nil"/>
          <w:insideH w:val="single" w:sz="4" w:space="0" w:color="340664" w:themeColor="accent3" w:themeShade="99"/>
          <w:insideV w:val="nil"/>
        </w:tcBorders>
        <w:shd w:val="clear" w:color="auto" w:fill="34066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0664" w:themeFill="accent3" w:themeFillShade="99"/>
      </w:tcPr>
    </w:tblStylePr>
    <w:tblStylePr w:type="band1Vert">
      <w:tblPr/>
      <w:tcPr>
        <w:shd w:val="clear" w:color="auto" w:fill="BB81F7" w:themeFill="accent3" w:themeFillTint="66"/>
      </w:tcPr>
    </w:tblStylePr>
    <w:tblStylePr w:type="band1Horz">
      <w:tblPr/>
      <w:tcPr>
        <w:shd w:val="clear" w:color="auto" w:fill="AA62F5"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580AA8" w:themeColor="accent3"/>
        <w:left w:val="single" w:sz="4" w:space="0" w:color="00B0F0" w:themeColor="accent4"/>
        <w:bottom w:val="single" w:sz="4" w:space="0" w:color="00B0F0" w:themeColor="accent4"/>
        <w:right w:val="single" w:sz="4" w:space="0" w:color="00B0F0" w:themeColor="accent4"/>
        <w:insideH w:val="single" w:sz="4" w:space="0" w:color="FFFFFF" w:themeColor="background1"/>
        <w:insideV w:val="single" w:sz="4" w:space="0" w:color="FFFFFF" w:themeColor="background1"/>
      </w:tblBorders>
    </w:tblPr>
    <w:tcPr>
      <w:shd w:val="clear" w:color="auto" w:fill="E4F7FF" w:themeFill="accent4" w:themeFillTint="19"/>
    </w:tcPr>
    <w:tblStylePr w:type="firstRow">
      <w:rPr>
        <w:b/>
        <w:bCs/>
      </w:rPr>
      <w:tblPr/>
      <w:tcPr>
        <w:tcBorders>
          <w:top w:val="nil"/>
          <w:left w:val="nil"/>
          <w:bottom w:val="single" w:sz="24" w:space="0" w:color="580AA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90" w:themeFill="accent4" w:themeFillShade="99"/>
      </w:tcPr>
    </w:tblStylePr>
    <w:tblStylePr w:type="firstCol">
      <w:rPr>
        <w:color w:val="FFFFFF" w:themeColor="background1"/>
      </w:rPr>
      <w:tblPr/>
      <w:tcPr>
        <w:tcBorders>
          <w:top w:val="nil"/>
          <w:left w:val="nil"/>
          <w:bottom w:val="nil"/>
          <w:right w:val="nil"/>
          <w:insideH w:val="single" w:sz="4" w:space="0" w:color="006990" w:themeColor="accent4" w:themeShade="99"/>
          <w:insideV w:val="nil"/>
        </w:tcBorders>
        <w:shd w:val="clear" w:color="auto" w:fill="00699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990" w:themeFill="accent4" w:themeFillShade="99"/>
      </w:tcPr>
    </w:tblStylePr>
    <w:tblStylePr w:type="band1Vert">
      <w:tblPr/>
      <w:tcPr>
        <w:shd w:val="clear" w:color="auto" w:fill="93E2FF" w:themeFill="accent4" w:themeFillTint="66"/>
      </w:tcPr>
    </w:tblStylePr>
    <w:tblStylePr w:type="band1Horz">
      <w:tblPr/>
      <w:tcPr>
        <w:shd w:val="clear" w:color="auto" w:fill="78DB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DE1212" w:themeColor="accent6"/>
        <w:left w:val="single" w:sz="4" w:space="0" w:color="009900" w:themeColor="accent5"/>
        <w:bottom w:val="single" w:sz="4" w:space="0" w:color="009900" w:themeColor="accent5"/>
        <w:right w:val="single" w:sz="4" w:space="0" w:color="009900" w:themeColor="accent5"/>
        <w:insideH w:val="single" w:sz="4" w:space="0" w:color="FFFFFF" w:themeColor="background1"/>
        <w:insideV w:val="single" w:sz="4" w:space="0" w:color="FFFFFF" w:themeColor="background1"/>
      </w:tblBorders>
    </w:tblPr>
    <w:tcPr>
      <w:shd w:val="clear" w:color="auto" w:fill="DCFFDC" w:themeFill="accent5" w:themeFillTint="19"/>
    </w:tcPr>
    <w:tblStylePr w:type="firstRow">
      <w:rPr>
        <w:b/>
        <w:bCs/>
      </w:rPr>
      <w:tblPr/>
      <w:tcPr>
        <w:tcBorders>
          <w:top w:val="nil"/>
          <w:left w:val="nil"/>
          <w:bottom w:val="single" w:sz="24" w:space="0" w:color="DE121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00" w:themeFill="accent5" w:themeFillShade="99"/>
      </w:tcPr>
    </w:tblStylePr>
    <w:tblStylePr w:type="firstCol">
      <w:rPr>
        <w:color w:val="FFFFFF" w:themeColor="background1"/>
      </w:rPr>
      <w:tblPr/>
      <w:tcPr>
        <w:tcBorders>
          <w:top w:val="nil"/>
          <w:left w:val="nil"/>
          <w:bottom w:val="nil"/>
          <w:right w:val="nil"/>
          <w:insideH w:val="single" w:sz="4" w:space="0" w:color="005B00" w:themeColor="accent5" w:themeShade="99"/>
          <w:insideV w:val="nil"/>
        </w:tcBorders>
        <w:shd w:val="clear" w:color="auto" w:fill="00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B00" w:themeFill="accent5" w:themeFillShade="99"/>
      </w:tcPr>
    </w:tblStylePr>
    <w:tblStylePr w:type="band1Vert">
      <w:tblPr/>
      <w:tcPr>
        <w:shd w:val="clear" w:color="auto" w:fill="70FF70" w:themeFill="accent5" w:themeFillTint="66"/>
      </w:tcPr>
    </w:tblStylePr>
    <w:tblStylePr w:type="band1Horz">
      <w:tblPr/>
      <w:tcPr>
        <w:shd w:val="clear" w:color="auto" w:fill="4D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009900" w:themeColor="accent5"/>
        <w:left w:val="single" w:sz="4" w:space="0" w:color="DE1212" w:themeColor="accent6"/>
        <w:bottom w:val="single" w:sz="4" w:space="0" w:color="DE1212" w:themeColor="accent6"/>
        <w:right w:val="single" w:sz="4" w:space="0" w:color="DE1212" w:themeColor="accent6"/>
        <w:insideH w:val="single" w:sz="4" w:space="0" w:color="FFFFFF" w:themeColor="background1"/>
        <w:insideV w:val="single" w:sz="4" w:space="0" w:color="FFFFFF" w:themeColor="background1"/>
      </w:tblBorders>
    </w:tblPr>
    <w:tcPr>
      <w:shd w:val="clear" w:color="auto" w:fill="FDE6E6" w:themeFill="accent6" w:themeFillTint="19"/>
    </w:tcPr>
    <w:tblStylePr w:type="firstRow">
      <w:rPr>
        <w:b/>
        <w:bCs/>
      </w:rPr>
      <w:tblPr/>
      <w:tcPr>
        <w:tcBorders>
          <w:top w:val="nil"/>
          <w:left w:val="nil"/>
          <w:bottom w:val="single" w:sz="24" w:space="0" w:color="00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0A0A" w:themeFill="accent6" w:themeFillShade="99"/>
      </w:tcPr>
    </w:tblStylePr>
    <w:tblStylePr w:type="firstCol">
      <w:rPr>
        <w:color w:val="FFFFFF" w:themeColor="background1"/>
      </w:rPr>
      <w:tblPr/>
      <w:tcPr>
        <w:tcBorders>
          <w:top w:val="nil"/>
          <w:left w:val="nil"/>
          <w:bottom w:val="nil"/>
          <w:right w:val="nil"/>
          <w:insideH w:val="single" w:sz="4" w:space="0" w:color="850A0A" w:themeColor="accent6" w:themeShade="99"/>
          <w:insideV w:val="nil"/>
        </w:tcBorders>
        <w:shd w:val="clear" w:color="auto" w:fill="850A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50A0A" w:themeFill="accent6" w:themeFillShade="99"/>
      </w:tcPr>
    </w:tblStylePr>
    <w:tblStylePr w:type="band1Vert">
      <w:tblPr/>
      <w:tcPr>
        <w:shd w:val="clear" w:color="auto" w:fill="F79B9B" w:themeFill="accent6" w:themeFillTint="66"/>
      </w:tcPr>
    </w:tblStylePr>
    <w:tblStylePr w:type="band1Horz">
      <w:tblPr/>
      <w:tcPr>
        <w:shd w:val="clear" w:color="auto" w:fill="F5828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F275E" w:themeFill="accent2" w:themeFillShade="CC"/>
      </w:tcPr>
    </w:tblStylePr>
    <w:tblStylePr w:type="lastRow">
      <w:rPr>
        <w:b/>
        <w:bCs/>
        <w:color w:val="1F27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8F2E7" w:themeFill="accent1" w:themeFillTint="19"/>
    </w:tcPr>
    <w:tblStylePr w:type="firstRow">
      <w:rPr>
        <w:b/>
        <w:bCs/>
        <w:color w:val="FFFFFF" w:themeColor="background1"/>
      </w:rPr>
      <w:tblPr/>
      <w:tcPr>
        <w:tcBorders>
          <w:bottom w:val="single" w:sz="12" w:space="0" w:color="FFFFFF" w:themeColor="background1"/>
        </w:tcBorders>
        <w:shd w:val="clear" w:color="auto" w:fill="1F275E" w:themeFill="accent2" w:themeFillShade="CC"/>
      </w:tcPr>
    </w:tblStylePr>
    <w:tblStylePr w:type="lastRow">
      <w:rPr>
        <w:b/>
        <w:bCs/>
        <w:color w:val="1F27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0C4" w:themeFill="accent1" w:themeFillTint="3F"/>
      </w:tcPr>
    </w:tblStylePr>
    <w:tblStylePr w:type="band1Horz">
      <w:tblPr/>
      <w:tcPr>
        <w:shd w:val="clear" w:color="auto" w:fill="F2E5C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4E7F6" w:themeFill="accent2" w:themeFillTint="19"/>
    </w:tcPr>
    <w:tblStylePr w:type="firstRow">
      <w:rPr>
        <w:b/>
        <w:bCs/>
        <w:color w:val="FFFFFF" w:themeColor="background1"/>
      </w:rPr>
      <w:tblPr/>
      <w:tcPr>
        <w:tcBorders>
          <w:bottom w:val="single" w:sz="12" w:space="0" w:color="FFFFFF" w:themeColor="background1"/>
        </w:tcBorders>
        <w:shd w:val="clear" w:color="auto" w:fill="1F275E" w:themeFill="accent2" w:themeFillShade="CC"/>
      </w:tcPr>
    </w:tblStylePr>
    <w:tblStylePr w:type="lastRow">
      <w:rPr>
        <w:b/>
        <w:bCs/>
        <w:color w:val="1F27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C3E9" w:themeFill="accent2" w:themeFillTint="3F"/>
      </w:tcPr>
    </w:tblStylePr>
    <w:tblStylePr w:type="band1Horz">
      <w:tblPr/>
      <w:tcPr>
        <w:shd w:val="clear" w:color="auto" w:fill="C9CEE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EE0FD" w:themeFill="accent3" w:themeFillTint="19"/>
    </w:tcPr>
    <w:tblStylePr w:type="firstRow">
      <w:rPr>
        <w:b/>
        <w:bCs/>
        <w:color w:val="FFFFFF" w:themeColor="background1"/>
      </w:rPr>
      <w:tblPr/>
      <w:tcPr>
        <w:tcBorders>
          <w:bottom w:val="single" w:sz="12" w:space="0" w:color="FFFFFF" w:themeColor="background1"/>
        </w:tcBorders>
        <w:shd w:val="clear" w:color="auto" w:fill="008CC0" w:themeFill="accent4" w:themeFillShade="CC"/>
      </w:tcPr>
    </w:tblStylePr>
    <w:tblStylePr w:type="lastRow">
      <w:rPr>
        <w:b/>
        <w:bCs/>
        <w:color w:val="008CC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B1FA" w:themeFill="accent3" w:themeFillTint="3F"/>
      </w:tcPr>
    </w:tblStylePr>
    <w:tblStylePr w:type="band1Horz">
      <w:tblPr/>
      <w:tcPr>
        <w:shd w:val="clear" w:color="auto" w:fill="DDC0FB"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4" w:themeFillTint="19"/>
    </w:tcPr>
    <w:tblStylePr w:type="firstRow">
      <w:rPr>
        <w:b/>
        <w:bCs/>
        <w:color w:val="FFFFFF" w:themeColor="background1"/>
      </w:rPr>
      <w:tblPr/>
      <w:tcPr>
        <w:tcBorders>
          <w:bottom w:val="single" w:sz="12" w:space="0" w:color="FFFFFF" w:themeColor="background1"/>
        </w:tcBorders>
        <w:shd w:val="clear" w:color="auto" w:fill="450886" w:themeFill="accent3" w:themeFillShade="CC"/>
      </w:tcPr>
    </w:tblStylePr>
    <w:tblStylePr w:type="lastRow">
      <w:rPr>
        <w:b/>
        <w:bCs/>
        <w:color w:val="45088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DFF" w:themeFill="accent4" w:themeFillTint="3F"/>
      </w:tcPr>
    </w:tblStylePr>
    <w:tblStylePr w:type="band1Horz">
      <w:tblPr/>
      <w:tcPr>
        <w:shd w:val="clear" w:color="auto" w:fill="C9F0FF"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CFFDC" w:themeFill="accent5" w:themeFillTint="19"/>
    </w:tcPr>
    <w:tblStylePr w:type="firstRow">
      <w:rPr>
        <w:b/>
        <w:bCs/>
        <w:color w:val="FFFFFF" w:themeColor="background1"/>
      </w:rPr>
      <w:tblPr/>
      <w:tcPr>
        <w:tcBorders>
          <w:bottom w:val="single" w:sz="12" w:space="0" w:color="FFFFFF" w:themeColor="background1"/>
        </w:tcBorders>
        <w:shd w:val="clear" w:color="auto" w:fill="B10E0E" w:themeFill="accent6" w:themeFillShade="CC"/>
      </w:tcPr>
    </w:tblStylePr>
    <w:tblStylePr w:type="lastRow">
      <w:rPr>
        <w:b/>
        <w:bCs/>
        <w:color w:val="B10E0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A6" w:themeFill="accent5" w:themeFillTint="3F"/>
      </w:tcPr>
    </w:tblStylePr>
    <w:tblStylePr w:type="band1Horz">
      <w:tblPr/>
      <w:tcPr>
        <w:shd w:val="clear" w:color="auto" w:fill="B7FFB7"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DE6E6" w:themeFill="accent6" w:themeFillTint="19"/>
    </w:tcPr>
    <w:tblStylePr w:type="firstRow">
      <w:rPr>
        <w:b/>
        <w:bCs/>
        <w:color w:val="FFFFFF" w:themeColor="background1"/>
      </w:rPr>
      <w:tblPr/>
      <w:tcPr>
        <w:tcBorders>
          <w:bottom w:val="single" w:sz="12" w:space="0" w:color="FFFFFF" w:themeColor="background1"/>
        </w:tcBorders>
        <w:shd w:val="clear" w:color="auto" w:fill="007A00" w:themeFill="accent5" w:themeFillShade="CC"/>
      </w:tcPr>
    </w:tblStylePr>
    <w:tblStylePr w:type="lastRow">
      <w:rPr>
        <w:b/>
        <w:bCs/>
        <w:color w:val="00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1C1" w:themeFill="accent6" w:themeFillTint="3F"/>
      </w:tcPr>
    </w:tblStylePr>
    <w:tblStylePr w:type="band1Horz">
      <w:tblPr/>
      <w:tcPr>
        <w:shd w:val="clear" w:color="auto" w:fill="FBCDCD"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5CF" w:themeFill="accent1" w:themeFillTint="33"/>
    </w:tcPr>
    <w:tblStylePr w:type="firstRow">
      <w:rPr>
        <w:b/>
        <w:bCs/>
      </w:rPr>
      <w:tblPr/>
      <w:tcPr>
        <w:shd w:val="clear" w:color="auto" w:fill="E5CCA0" w:themeFill="accent1" w:themeFillTint="66"/>
      </w:tcPr>
    </w:tblStylePr>
    <w:tblStylePr w:type="lastRow">
      <w:rPr>
        <w:b/>
        <w:bCs/>
        <w:color w:val="000000" w:themeColor="text1"/>
      </w:rPr>
      <w:tblPr/>
      <w:tcPr>
        <w:shd w:val="clear" w:color="auto" w:fill="E5CCA0" w:themeFill="accent1" w:themeFillTint="66"/>
      </w:tcPr>
    </w:tblStylePr>
    <w:tblStylePr w:type="firstCol">
      <w:rPr>
        <w:color w:val="FFFFFF" w:themeColor="background1"/>
      </w:rPr>
      <w:tblPr/>
      <w:tcPr>
        <w:shd w:val="clear" w:color="auto" w:fill="7C5B21" w:themeFill="accent1" w:themeFillShade="BF"/>
      </w:tcPr>
    </w:tblStylePr>
    <w:tblStylePr w:type="lastCol">
      <w:rPr>
        <w:color w:val="FFFFFF" w:themeColor="background1"/>
      </w:rPr>
      <w:tblPr/>
      <w:tcPr>
        <w:shd w:val="clear" w:color="auto" w:fill="7C5B21" w:themeFill="accent1" w:themeFillShade="BF"/>
      </w:tcPr>
    </w:tblStylePr>
    <w:tblStylePr w:type="band1Vert">
      <w:tblPr/>
      <w:tcPr>
        <w:shd w:val="clear" w:color="auto" w:fill="DFC089" w:themeFill="accent1" w:themeFillTint="7F"/>
      </w:tcPr>
    </w:tblStylePr>
    <w:tblStylePr w:type="band1Horz">
      <w:tblPr/>
      <w:tcPr>
        <w:shd w:val="clear" w:color="auto" w:fill="DFC089"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CEED" w:themeFill="accent2" w:themeFillTint="33"/>
    </w:tcPr>
    <w:tblStylePr w:type="firstRow">
      <w:rPr>
        <w:b/>
        <w:bCs/>
      </w:rPr>
      <w:tblPr/>
      <w:tcPr>
        <w:shd w:val="clear" w:color="auto" w:fill="949EDC" w:themeFill="accent2" w:themeFillTint="66"/>
      </w:tcPr>
    </w:tblStylePr>
    <w:tblStylePr w:type="lastRow">
      <w:rPr>
        <w:b/>
        <w:bCs/>
        <w:color w:val="000000" w:themeColor="text1"/>
      </w:rPr>
      <w:tblPr/>
      <w:tcPr>
        <w:shd w:val="clear" w:color="auto" w:fill="949EDC" w:themeFill="accent2" w:themeFillTint="66"/>
      </w:tcPr>
    </w:tblStylePr>
    <w:tblStylePr w:type="firstCol">
      <w:rPr>
        <w:color w:val="FFFFFF" w:themeColor="background1"/>
      </w:rPr>
      <w:tblPr/>
      <w:tcPr>
        <w:shd w:val="clear" w:color="auto" w:fill="1D2558" w:themeFill="accent2" w:themeFillShade="BF"/>
      </w:tcPr>
    </w:tblStylePr>
    <w:tblStylePr w:type="lastCol">
      <w:rPr>
        <w:color w:val="FFFFFF" w:themeColor="background1"/>
      </w:rPr>
      <w:tblPr/>
      <w:tcPr>
        <w:shd w:val="clear" w:color="auto" w:fill="1D2558" w:themeFill="accent2" w:themeFillShade="BF"/>
      </w:tcPr>
    </w:tblStylePr>
    <w:tblStylePr w:type="band1Vert">
      <w:tblPr/>
      <w:tcPr>
        <w:shd w:val="clear" w:color="auto" w:fill="7A86D3" w:themeFill="accent2" w:themeFillTint="7F"/>
      </w:tcPr>
    </w:tblStylePr>
    <w:tblStylePr w:type="band1Horz">
      <w:tblPr/>
      <w:tcPr>
        <w:shd w:val="clear" w:color="auto" w:fill="7A86D3"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0FB" w:themeFill="accent3" w:themeFillTint="33"/>
    </w:tcPr>
    <w:tblStylePr w:type="firstRow">
      <w:rPr>
        <w:b/>
        <w:bCs/>
      </w:rPr>
      <w:tblPr/>
      <w:tcPr>
        <w:shd w:val="clear" w:color="auto" w:fill="BB81F7" w:themeFill="accent3" w:themeFillTint="66"/>
      </w:tcPr>
    </w:tblStylePr>
    <w:tblStylePr w:type="lastRow">
      <w:rPr>
        <w:b/>
        <w:bCs/>
        <w:color w:val="000000" w:themeColor="text1"/>
      </w:rPr>
      <w:tblPr/>
      <w:tcPr>
        <w:shd w:val="clear" w:color="auto" w:fill="BB81F7" w:themeFill="accent3" w:themeFillTint="66"/>
      </w:tcPr>
    </w:tblStylePr>
    <w:tblStylePr w:type="firstCol">
      <w:rPr>
        <w:color w:val="FFFFFF" w:themeColor="background1"/>
      </w:rPr>
      <w:tblPr/>
      <w:tcPr>
        <w:shd w:val="clear" w:color="auto" w:fill="41077D" w:themeFill="accent3" w:themeFillShade="BF"/>
      </w:tcPr>
    </w:tblStylePr>
    <w:tblStylePr w:type="lastCol">
      <w:rPr>
        <w:color w:val="FFFFFF" w:themeColor="background1"/>
      </w:rPr>
      <w:tblPr/>
      <w:tcPr>
        <w:shd w:val="clear" w:color="auto" w:fill="41077D" w:themeFill="accent3" w:themeFillShade="BF"/>
      </w:tcPr>
    </w:tblStylePr>
    <w:tblStylePr w:type="band1Vert">
      <w:tblPr/>
      <w:tcPr>
        <w:shd w:val="clear" w:color="auto" w:fill="AA62F5" w:themeFill="accent3" w:themeFillTint="7F"/>
      </w:tcPr>
    </w:tblStylePr>
    <w:tblStylePr w:type="band1Horz">
      <w:tblPr/>
      <w:tcPr>
        <w:shd w:val="clear" w:color="auto" w:fill="AA62F5"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0FF" w:themeFill="accent4" w:themeFillTint="33"/>
    </w:tcPr>
    <w:tblStylePr w:type="firstRow">
      <w:rPr>
        <w:b/>
        <w:bCs/>
      </w:rPr>
      <w:tblPr/>
      <w:tcPr>
        <w:shd w:val="clear" w:color="auto" w:fill="93E2FF" w:themeFill="accent4" w:themeFillTint="66"/>
      </w:tcPr>
    </w:tblStylePr>
    <w:tblStylePr w:type="lastRow">
      <w:rPr>
        <w:b/>
        <w:bCs/>
        <w:color w:val="000000" w:themeColor="text1"/>
      </w:rPr>
      <w:tblPr/>
      <w:tcPr>
        <w:shd w:val="clear" w:color="auto" w:fill="93E2FF" w:themeFill="accent4" w:themeFillTint="66"/>
      </w:tcPr>
    </w:tblStylePr>
    <w:tblStylePr w:type="firstCol">
      <w:rPr>
        <w:color w:val="FFFFFF" w:themeColor="background1"/>
      </w:rPr>
      <w:tblPr/>
      <w:tcPr>
        <w:shd w:val="clear" w:color="auto" w:fill="0083B3" w:themeFill="accent4" w:themeFillShade="BF"/>
      </w:tcPr>
    </w:tblStylePr>
    <w:tblStylePr w:type="lastCol">
      <w:rPr>
        <w:color w:val="FFFFFF" w:themeColor="background1"/>
      </w:rPr>
      <w:tblPr/>
      <w:tcPr>
        <w:shd w:val="clear" w:color="auto" w:fill="0083B3" w:themeFill="accent4" w:themeFillShade="BF"/>
      </w:tcPr>
    </w:tblStylePr>
    <w:tblStylePr w:type="band1Vert">
      <w:tblPr/>
      <w:tcPr>
        <w:shd w:val="clear" w:color="auto" w:fill="78DBFF" w:themeFill="accent4" w:themeFillTint="7F"/>
      </w:tcPr>
    </w:tblStylePr>
    <w:tblStylePr w:type="band1Horz">
      <w:tblPr/>
      <w:tcPr>
        <w:shd w:val="clear" w:color="auto" w:fill="78DBFF"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B7" w:themeFill="accent5" w:themeFillTint="33"/>
    </w:tcPr>
    <w:tblStylePr w:type="firstRow">
      <w:rPr>
        <w:b/>
        <w:bCs/>
      </w:rPr>
      <w:tblPr/>
      <w:tcPr>
        <w:shd w:val="clear" w:color="auto" w:fill="70FF70" w:themeFill="accent5" w:themeFillTint="66"/>
      </w:tcPr>
    </w:tblStylePr>
    <w:tblStylePr w:type="lastRow">
      <w:rPr>
        <w:b/>
        <w:bCs/>
        <w:color w:val="000000" w:themeColor="text1"/>
      </w:rPr>
      <w:tblPr/>
      <w:tcPr>
        <w:shd w:val="clear" w:color="auto" w:fill="70FF70" w:themeFill="accent5" w:themeFillTint="66"/>
      </w:tcPr>
    </w:tblStylePr>
    <w:tblStylePr w:type="firstCol">
      <w:rPr>
        <w:color w:val="FFFFFF" w:themeColor="background1"/>
      </w:rPr>
      <w:tblPr/>
      <w:tcPr>
        <w:shd w:val="clear" w:color="auto" w:fill="007200" w:themeFill="accent5" w:themeFillShade="BF"/>
      </w:tcPr>
    </w:tblStylePr>
    <w:tblStylePr w:type="lastCol">
      <w:rPr>
        <w:color w:val="FFFFFF" w:themeColor="background1"/>
      </w:rPr>
      <w:tblPr/>
      <w:tcPr>
        <w:shd w:val="clear" w:color="auto" w:fill="007200" w:themeFill="accent5" w:themeFillShade="BF"/>
      </w:tcPr>
    </w:tblStylePr>
    <w:tblStylePr w:type="band1Vert">
      <w:tblPr/>
      <w:tcPr>
        <w:shd w:val="clear" w:color="auto" w:fill="4DFF4D" w:themeFill="accent5" w:themeFillTint="7F"/>
      </w:tcPr>
    </w:tblStylePr>
    <w:tblStylePr w:type="band1Horz">
      <w:tblPr/>
      <w:tcPr>
        <w:shd w:val="clear" w:color="auto" w:fill="4DFF4D"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CDCD" w:themeFill="accent6" w:themeFillTint="33"/>
    </w:tcPr>
    <w:tblStylePr w:type="firstRow">
      <w:rPr>
        <w:b/>
        <w:bCs/>
      </w:rPr>
      <w:tblPr/>
      <w:tcPr>
        <w:shd w:val="clear" w:color="auto" w:fill="F79B9B" w:themeFill="accent6" w:themeFillTint="66"/>
      </w:tcPr>
    </w:tblStylePr>
    <w:tblStylePr w:type="lastRow">
      <w:rPr>
        <w:b/>
        <w:bCs/>
        <w:color w:val="000000" w:themeColor="text1"/>
      </w:rPr>
      <w:tblPr/>
      <w:tcPr>
        <w:shd w:val="clear" w:color="auto" w:fill="F79B9B" w:themeFill="accent6" w:themeFillTint="66"/>
      </w:tcPr>
    </w:tblStylePr>
    <w:tblStylePr w:type="firstCol">
      <w:rPr>
        <w:color w:val="FFFFFF" w:themeColor="background1"/>
      </w:rPr>
      <w:tblPr/>
      <w:tcPr>
        <w:shd w:val="clear" w:color="auto" w:fill="A60D0D" w:themeFill="accent6" w:themeFillShade="BF"/>
      </w:tcPr>
    </w:tblStylePr>
    <w:tblStylePr w:type="lastCol">
      <w:rPr>
        <w:color w:val="FFFFFF" w:themeColor="background1"/>
      </w:rPr>
      <w:tblPr/>
      <w:tcPr>
        <w:shd w:val="clear" w:color="auto" w:fill="A60D0D" w:themeFill="accent6" w:themeFillShade="BF"/>
      </w:tcPr>
    </w:tblStylePr>
    <w:tblStylePr w:type="band1Vert">
      <w:tblPr/>
      <w:tcPr>
        <w:shd w:val="clear" w:color="auto" w:fill="F58282" w:themeFill="accent6" w:themeFillTint="7F"/>
      </w:tcPr>
    </w:tblStylePr>
    <w:tblStylePr w:type="band1Horz">
      <w:tblPr/>
      <w:tcPr>
        <w:shd w:val="clear" w:color="auto" w:fill="F58282" w:themeFill="accent6" w:themeFillTint="7F"/>
      </w:tcPr>
    </w:tblStylePr>
  </w:style>
  <w:style w:type="paragraph" w:customStyle="1" w:styleId="SKFooter">
    <w:name w:val="SK Footer"/>
    <w:qFormat/>
    <w:rsid w:val="00D23625"/>
    <w:pPr>
      <w:tabs>
        <w:tab w:val="center" w:pos="4536"/>
        <w:tab w:val="right" w:pos="9639"/>
      </w:tabs>
      <w:spacing w:after="60" w:line="240" w:lineRule="auto"/>
      <w:ind w:left="-567" w:right="-612"/>
      <w:jc w:val="center"/>
    </w:pPr>
    <w:rPr>
      <w:rFonts w:ascii="Calibri" w:hAnsi="Calibri"/>
      <w:color w:val="7F7F7F" w:themeColor="text1" w:themeTint="80"/>
      <w:sz w:val="18"/>
      <w:szCs w:val="18"/>
      <w:lang w:val="en-C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SS MS PPTX THEME2">
  <a:themeElements>
    <a:clrScheme name="CSS MS Word Theme">
      <a:dk1>
        <a:srgbClr val="000000"/>
      </a:dk1>
      <a:lt1>
        <a:sysClr val="window" lastClr="FFFFFF"/>
      </a:lt1>
      <a:dk2>
        <a:srgbClr val="606060"/>
      </a:dk2>
      <a:lt2>
        <a:srgbClr val="A6A6A6"/>
      </a:lt2>
      <a:accent1>
        <a:srgbClr val="A67B2D"/>
      </a:accent1>
      <a:accent2>
        <a:srgbClr val="273276"/>
      </a:accent2>
      <a:accent3>
        <a:srgbClr val="580AA8"/>
      </a:accent3>
      <a:accent4>
        <a:srgbClr val="00B0F0"/>
      </a:accent4>
      <a:accent5>
        <a:srgbClr val="009900"/>
      </a:accent5>
      <a:accent6>
        <a:srgbClr val="DE1212"/>
      </a:accent6>
      <a:hlink>
        <a:srgbClr val="FFC00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SS MS PPTX THEME2" id="{739068BD-2146-4675-BA8A-937FC726F358}" vid="{63BA25A2-A520-4666-A084-EDB7298AD09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11</Pages>
  <Words>2819</Words>
  <Characters>16267</Characters>
  <Application>Microsoft Office Word</Application>
  <DocSecurity>0</DocSecurity>
  <Lines>560</Lines>
  <Paragraphs>318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Susanne MacMahon</cp:lastModifiedBy>
  <cp:revision>13</cp:revision>
  <cp:lastPrinted>2026-06-16T18:14:00Z</cp:lastPrinted>
  <dcterms:created xsi:type="dcterms:W3CDTF">2026-06-17T17:18:00Z</dcterms:created>
  <dcterms:modified xsi:type="dcterms:W3CDTF">2026-07-22T20:30:00Z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48a63721-56c3-4417-9a6e-27fa73e99d28</vt:lpwstr>
  </property>
</Properties>
</file>